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6353BE" w14:textId="21BA97FF" w:rsidR="00A10933" w:rsidRPr="005340E1" w:rsidRDefault="00C466DE" w:rsidP="00A10933">
      <w:pPr>
        <w:jc w:val="right"/>
        <w:rPr>
          <w:rFonts w:ascii="Arial" w:hAnsi="Arial" w:cs="Arial"/>
          <w:b/>
          <w:i/>
          <w:sz w:val="48"/>
          <w:szCs w:val="48"/>
          <w:lang w:val="fr-CA"/>
        </w:rPr>
      </w:pPr>
      <w:r w:rsidRPr="005340E1">
        <w:rPr>
          <w:rFonts w:ascii="Arial" w:hAnsi="Arial" w:cs="Arial"/>
          <w:b/>
          <w:i/>
          <w:sz w:val="48"/>
          <w:szCs w:val="48"/>
          <w:lang w:val="fr-CA"/>
        </w:rPr>
        <w:t>Manuel de l’utilisateur</w:t>
      </w:r>
      <w:r w:rsidR="00A10933" w:rsidRPr="005340E1">
        <w:rPr>
          <w:rStyle w:val="FootnoteReference"/>
          <w:rFonts w:ascii="Arial" w:hAnsi="Arial" w:cs="Arial"/>
          <w:b/>
          <w:i/>
          <w:sz w:val="48"/>
          <w:szCs w:val="48"/>
          <w:lang w:val="fr-CA"/>
        </w:rPr>
        <w:footnoteReference w:id="1"/>
      </w:r>
      <w:r w:rsidRPr="005340E1">
        <w:rPr>
          <w:rFonts w:ascii="Arial" w:hAnsi="Arial" w:cs="Arial"/>
          <w:b/>
          <w:i/>
          <w:sz w:val="48"/>
          <w:szCs w:val="48"/>
          <w:lang w:val="fr-CA"/>
        </w:rPr>
        <w:br/>
      </w:r>
      <w:r w:rsidR="004D52DA">
        <w:rPr>
          <w:rFonts w:ascii="Arial" w:hAnsi="Arial" w:cs="Arial"/>
          <w:b/>
          <w:i/>
          <w:sz w:val="48"/>
          <w:szCs w:val="48"/>
          <w:lang w:val="fr-CA"/>
        </w:rPr>
        <w:t>pour</w:t>
      </w:r>
      <w:r w:rsidRPr="005340E1">
        <w:rPr>
          <w:rFonts w:ascii="Arial" w:hAnsi="Arial" w:cs="Arial"/>
          <w:b/>
          <w:i/>
          <w:sz w:val="48"/>
          <w:szCs w:val="48"/>
          <w:lang w:val="fr-CA"/>
        </w:rPr>
        <w:t xml:space="preserve"> la </w:t>
      </w:r>
      <w:r w:rsidR="004D59D9" w:rsidRPr="005340E1">
        <w:rPr>
          <w:rFonts w:ascii="Arial" w:hAnsi="Arial" w:cs="Arial"/>
          <w:b/>
          <w:i/>
          <w:sz w:val="48"/>
          <w:szCs w:val="48"/>
          <w:lang w:val="fr-CA"/>
        </w:rPr>
        <w:t xml:space="preserve">Grille d’évaluation de la préparation à la transition des services communautaires de traitement intensif (Assertive Community Treatment Transition Readiness </w:t>
      </w:r>
      <w:r w:rsidRPr="005340E1">
        <w:rPr>
          <w:rFonts w:ascii="Arial" w:hAnsi="Arial" w:cs="Arial"/>
          <w:b/>
          <w:i/>
          <w:sz w:val="48"/>
          <w:szCs w:val="48"/>
          <w:lang w:val="fr-CA"/>
        </w:rPr>
        <w:t>Scale</w:t>
      </w:r>
      <w:r w:rsidRPr="005340E1">
        <w:rPr>
          <w:rFonts w:ascii="Arial" w:hAnsi="Arial" w:cs="Arial"/>
          <w:b/>
          <w:i/>
          <w:sz w:val="48"/>
          <w:szCs w:val="48"/>
          <w:vertAlign w:val="superscript"/>
          <w:lang w:val="fr-CA"/>
        </w:rPr>
        <w:t>©</w:t>
      </w:r>
      <w:r w:rsidR="004D59D9" w:rsidRPr="005340E1">
        <w:rPr>
          <w:rFonts w:ascii="Arial" w:hAnsi="Arial" w:cs="Arial"/>
          <w:b/>
          <w:i/>
          <w:sz w:val="48"/>
          <w:szCs w:val="48"/>
          <w:lang w:val="fr-CA"/>
        </w:rPr>
        <w:t>)</w:t>
      </w:r>
    </w:p>
    <w:p w14:paraId="1C905813" w14:textId="77777777" w:rsidR="00A10933" w:rsidRPr="005340E1" w:rsidRDefault="00A10933" w:rsidP="00A10933">
      <w:pPr>
        <w:rPr>
          <w:rFonts w:ascii="Arial" w:hAnsi="Arial" w:cs="Arial"/>
          <w:highlight w:val="yellow"/>
          <w:lang w:val="fr-CA"/>
        </w:rPr>
      </w:pPr>
    </w:p>
    <w:p w14:paraId="688F7F48" w14:textId="77777777" w:rsidR="00A10933" w:rsidRPr="005340E1" w:rsidRDefault="00A10933" w:rsidP="00A10933">
      <w:pPr>
        <w:rPr>
          <w:rFonts w:ascii="Arial" w:hAnsi="Arial" w:cs="Arial"/>
          <w:highlight w:val="yellow"/>
          <w:lang w:val="fr-CA"/>
        </w:rPr>
      </w:pPr>
    </w:p>
    <w:p w14:paraId="6412D7B4" w14:textId="77777777" w:rsidR="00A10933" w:rsidRPr="005340E1" w:rsidRDefault="00A10933" w:rsidP="00A10933">
      <w:pPr>
        <w:rPr>
          <w:rFonts w:ascii="Arial" w:hAnsi="Arial" w:cs="Arial"/>
          <w:highlight w:val="yellow"/>
          <w:lang w:val="fr-CA"/>
        </w:rPr>
      </w:pPr>
    </w:p>
    <w:p w14:paraId="41E9F978" w14:textId="77777777" w:rsidR="00A10933" w:rsidRPr="005340E1" w:rsidRDefault="00A10933" w:rsidP="00A10933">
      <w:pPr>
        <w:rPr>
          <w:rFonts w:ascii="Arial" w:hAnsi="Arial" w:cs="Arial"/>
          <w:highlight w:val="yellow"/>
          <w:lang w:val="fr-CA"/>
        </w:rPr>
      </w:pPr>
    </w:p>
    <w:p w14:paraId="48144BB5" w14:textId="77777777" w:rsidR="00A10933" w:rsidRPr="005340E1" w:rsidRDefault="00A10933" w:rsidP="00A10933">
      <w:pPr>
        <w:rPr>
          <w:rFonts w:ascii="Arial" w:hAnsi="Arial" w:cs="Arial"/>
          <w:highlight w:val="yellow"/>
          <w:lang w:val="fr-CA"/>
        </w:rPr>
      </w:pPr>
    </w:p>
    <w:p w14:paraId="4DA933CC" w14:textId="77777777" w:rsidR="00A10933" w:rsidRPr="005340E1" w:rsidRDefault="00A10933" w:rsidP="00A10933">
      <w:pPr>
        <w:rPr>
          <w:rFonts w:ascii="Arial" w:hAnsi="Arial" w:cs="Arial"/>
          <w:highlight w:val="yellow"/>
          <w:lang w:val="fr-CA"/>
        </w:rPr>
      </w:pPr>
    </w:p>
    <w:p w14:paraId="6F34F92A" w14:textId="77777777" w:rsidR="00A10933" w:rsidRPr="005340E1" w:rsidRDefault="00A10933" w:rsidP="00A10933">
      <w:pPr>
        <w:rPr>
          <w:rFonts w:ascii="Arial" w:hAnsi="Arial" w:cs="Arial"/>
          <w:highlight w:val="yellow"/>
          <w:lang w:val="fr-CA"/>
        </w:rPr>
      </w:pPr>
    </w:p>
    <w:p w14:paraId="5E47BB37" w14:textId="77777777" w:rsidR="00A10933" w:rsidRPr="005340E1" w:rsidRDefault="00A10933" w:rsidP="00A10933">
      <w:pPr>
        <w:rPr>
          <w:rFonts w:ascii="Arial" w:hAnsi="Arial" w:cs="Arial"/>
          <w:highlight w:val="yellow"/>
          <w:lang w:val="fr-CA"/>
        </w:rPr>
      </w:pPr>
    </w:p>
    <w:p w14:paraId="00E609AC" w14:textId="77777777" w:rsidR="00A10933" w:rsidRPr="005340E1" w:rsidRDefault="00A10933" w:rsidP="00A10933">
      <w:pPr>
        <w:rPr>
          <w:rFonts w:ascii="Arial" w:hAnsi="Arial" w:cs="Arial"/>
          <w:highlight w:val="yellow"/>
          <w:lang w:val="fr-CA"/>
        </w:rPr>
      </w:pPr>
    </w:p>
    <w:p w14:paraId="140DB30D" w14:textId="77777777" w:rsidR="00A10933" w:rsidRPr="005340E1" w:rsidRDefault="00A10933" w:rsidP="00A10933">
      <w:pPr>
        <w:rPr>
          <w:rFonts w:ascii="Arial" w:hAnsi="Arial" w:cs="Arial"/>
          <w:highlight w:val="yellow"/>
          <w:lang w:val="fr-CA"/>
        </w:rPr>
      </w:pPr>
    </w:p>
    <w:p w14:paraId="6C9AA99A" w14:textId="77777777" w:rsidR="00A10933" w:rsidRPr="005340E1" w:rsidRDefault="00A10933" w:rsidP="00A10933">
      <w:pPr>
        <w:rPr>
          <w:rFonts w:ascii="Arial" w:hAnsi="Arial" w:cs="Arial"/>
          <w:highlight w:val="yellow"/>
          <w:lang w:val="fr-CA"/>
        </w:rPr>
      </w:pPr>
    </w:p>
    <w:p w14:paraId="046960EA" w14:textId="77777777" w:rsidR="00A10933" w:rsidRPr="005340E1" w:rsidRDefault="00A10933" w:rsidP="00A10933">
      <w:pPr>
        <w:rPr>
          <w:rFonts w:ascii="Arial" w:hAnsi="Arial" w:cs="Arial"/>
          <w:highlight w:val="yellow"/>
          <w:lang w:val="fr-CA"/>
        </w:rPr>
      </w:pPr>
    </w:p>
    <w:p w14:paraId="59B7925A" w14:textId="77777777" w:rsidR="00A10933" w:rsidRPr="005340E1" w:rsidRDefault="00A10933" w:rsidP="00A10933">
      <w:pPr>
        <w:rPr>
          <w:rFonts w:ascii="Arial" w:hAnsi="Arial" w:cs="Arial"/>
          <w:highlight w:val="yellow"/>
          <w:lang w:val="fr-CA"/>
        </w:rPr>
      </w:pPr>
    </w:p>
    <w:p w14:paraId="72765A03" w14:textId="77777777" w:rsidR="00A10933" w:rsidRPr="005340E1" w:rsidRDefault="00A10933" w:rsidP="00A10933">
      <w:pPr>
        <w:rPr>
          <w:rFonts w:ascii="Arial" w:hAnsi="Arial" w:cs="Arial"/>
          <w:highlight w:val="yellow"/>
          <w:lang w:val="fr-CA"/>
        </w:rPr>
      </w:pPr>
    </w:p>
    <w:p w14:paraId="416824B1" w14:textId="77777777" w:rsidR="00A10933" w:rsidRPr="005340E1" w:rsidRDefault="00A10933" w:rsidP="00A10933">
      <w:pPr>
        <w:rPr>
          <w:rFonts w:ascii="Arial" w:hAnsi="Arial" w:cs="Arial"/>
          <w:highlight w:val="yellow"/>
          <w:lang w:val="fr-CA"/>
        </w:rPr>
      </w:pPr>
    </w:p>
    <w:p w14:paraId="53548107" w14:textId="77777777" w:rsidR="00A10933" w:rsidRPr="005340E1" w:rsidRDefault="00A10933" w:rsidP="00A10933">
      <w:pPr>
        <w:rPr>
          <w:rFonts w:ascii="Arial" w:hAnsi="Arial" w:cs="Arial"/>
          <w:lang w:val="fr-CA"/>
        </w:rPr>
      </w:pPr>
    </w:p>
    <w:p w14:paraId="6BE6C481" w14:textId="77777777" w:rsidR="00A10933" w:rsidRPr="005340E1" w:rsidRDefault="00A10933" w:rsidP="00A10933">
      <w:pPr>
        <w:rPr>
          <w:rFonts w:ascii="Arial" w:hAnsi="Arial" w:cs="Arial"/>
          <w:lang w:val="fr-CA"/>
        </w:rPr>
      </w:pPr>
    </w:p>
    <w:p w14:paraId="0F0D7656" w14:textId="77777777" w:rsidR="00A10933" w:rsidRPr="005340E1" w:rsidRDefault="00A10933" w:rsidP="00A10933">
      <w:pPr>
        <w:rPr>
          <w:rFonts w:ascii="Arial" w:hAnsi="Arial" w:cs="Arial"/>
          <w:lang w:val="fr-CA"/>
        </w:rPr>
      </w:pPr>
    </w:p>
    <w:p w14:paraId="12818342" w14:textId="77777777" w:rsidR="00AC46D3" w:rsidRPr="005340E1" w:rsidRDefault="00A10933" w:rsidP="00A10933">
      <w:pPr>
        <w:rPr>
          <w:rFonts w:ascii="Arial" w:hAnsi="Arial" w:cs="Arial"/>
          <w:b/>
          <w:lang w:val="fr-CA"/>
        </w:rPr>
      </w:pPr>
      <w:r w:rsidRPr="005340E1">
        <w:rPr>
          <w:rFonts w:ascii="Arial" w:hAnsi="Arial" w:cs="Arial"/>
          <w:b/>
          <w:lang w:val="fr-CA"/>
        </w:rPr>
        <w:t>Gary S. Cuddeback, Ph.D.</w:t>
      </w:r>
    </w:p>
    <w:p w14:paraId="0D952F6E" w14:textId="77777777" w:rsidR="00AC46D3" w:rsidRPr="005340E1" w:rsidRDefault="00AC46D3">
      <w:pPr>
        <w:rPr>
          <w:rFonts w:ascii="Arial" w:hAnsi="Arial" w:cs="Arial"/>
          <w:b/>
          <w:highlight w:val="yellow"/>
          <w:lang w:val="fr-CA"/>
        </w:rPr>
      </w:pPr>
      <w:r w:rsidRPr="005340E1">
        <w:rPr>
          <w:rFonts w:ascii="Arial" w:hAnsi="Arial" w:cs="Arial"/>
          <w:b/>
          <w:highlight w:val="yellow"/>
          <w:lang w:val="fr-CA"/>
        </w:rPr>
        <w:br w:type="page"/>
      </w:r>
    </w:p>
    <w:p w14:paraId="332E1FF6" w14:textId="77777777" w:rsidR="000109CE" w:rsidRPr="005340E1" w:rsidRDefault="000109CE" w:rsidP="00AC46D3">
      <w:pPr>
        <w:jc w:val="center"/>
        <w:rPr>
          <w:rFonts w:ascii="Arial" w:hAnsi="Arial" w:cs="Arial"/>
          <w:b/>
          <w:sz w:val="22"/>
          <w:szCs w:val="22"/>
          <w:lang w:val="fr-CA"/>
        </w:rPr>
      </w:pPr>
    </w:p>
    <w:p w14:paraId="0B8CFC45" w14:textId="77777777" w:rsidR="000109CE" w:rsidRPr="005340E1" w:rsidRDefault="000109CE" w:rsidP="00AC46D3">
      <w:pPr>
        <w:jc w:val="center"/>
        <w:rPr>
          <w:rFonts w:ascii="Arial" w:hAnsi="Arial" w:cs="Arial"/>
          <w:b/>
          <w:sz w:val="22"/>
          <w:szCs w:val="22"/>
          <w:lang w:val="fr-CA"/>
        </w:rPr>
      </w:pPr>
    </w:p>
    <w:p w14:paraId="3AB6A15F" w14:textId="77777777" w:rsidR="000109CE" w:rsidRPr="005340E1" w:rsidRDefault="000109CE" w:rsidP="00AC46D3">
      <w:pPr>
        <w:jc w:val="center"/>
        <w:rPr>
          <w:rFonts w:ascii="Arial" w:hAnsi="Arial" w:cs="Arial"/>
          <w:b/>
          <w:sz w:val="22"/>
          <w:szCs w:val="22"/>
          <w:lang w:val="fr-CA"/>
        </w:rPr>
      </w:pPr>
    </w:p>
    <w:p w14:paraId="0B59817C" w14:textId="77777777" w:rsidR="000109CE" w:rsidRPr="005340E1" w:rsidRDefault="000109CE" w:rsidP="00AC46D3">
      <w:pPr>
        <w:jc w:val="center"/>
        <w:rPr>
          <w:rFonts w:ascii="Arial" w:hAnsi="Arial" w:cs="Arial"/>
          <w:b/>
          <w:sz w:val="22"/>
          <w:szCs w:val="22"/>
          <w:lang w:val="fr-CA"/>
        </w:rPr>
      </w:pPr>
    </w:p>
    <w:p w14:paraId="03C92441" w14:textId="77777777" w:rsidR="000109CE" w:rsidRPr="005340E1" w:rsidRDefault="000109CE" w:rsidP="00AC46D3">
      <w:pPr>
        <w:jc w:val="center"/>
        <w:rPr>
          <w:rFonts w:ascii="Arial" w:hAnsi="Arial" w:cs="Arial"/>
          <w:b/>
          <w:sz w:val="22"/>
          <w:szCs w:val="22"/>
          <w:lang w:val="fr-CA"/>
        </w:rPr>
      </w:pPr>
    </w:p>
    <w:p w14:paraId="5680798D" w14:textId="77777777" w:rsidR="000109CE" w:rsidRPr="005340E1" w:rsidRDefault="000109CE" w:rsidP="00AC46D3">
      <w:pPr>
        <w:jc w:val="center"/>
        <w:rPr>
          <w:rFonts w:ascii="Arial" w:hAnsi="Arial" w:cs="Arial"/>
          <w:b/>
          <w:sz w:val="22"/>
          <w:szCs w:val="22"/>
          <w:lang w:val="fr-CA"/>
        </w:rPr>
      </w:pPr>
    </w:p>
    <w:p w14:paraId="2F494822" w14:textId="7D7911A9" w:rsidR="00AC46D3" w:rsidRPr="005340E1" w:rsidRDefault="00AC46D3" w:rsidP="00AC46D3">
      <w:pPr>
        <w:jc w:val="center"/>
        <w:rPr>
          <w:rFonts w:ascii="Arial" w:hAnsi="Arial" w:cs="Arial"/>
          <w:b/>
          <w:sz w:val="22"/>
          <w:szCs w:val="22"/>
          <w:lang w:val="fr-CA"/>
        </w:rPr>
      </w:pPr>
      <w:r w:rsidRPr="005340E1">
        <w:rPr>
          <w:rFonts w:ascii="Arial" w:hAnsi="Arial" w:cs="Arial"/>
          <w:b/>
          <w:sz w:val="22"/>
          <w:szCs w:val="22"/>
          <w:lang w:val="fr-CA"/>
        </w:rPr>
        <w:t xml:space="preserve">TABLE </w:t>
      </w:r>
      <w:r w:rsidR="006801C0" w:rsidRPr="005340E1">
        <w:rPr>
          <w:rFonts w:ascii="Arial" w:hAnsi="Arial" w:cs="Arial"/>
          <w:b/>
          <w:sz w:val="22"/>
          <w:szCs w:val="22"/>
          <w:lang w:val="fr-CA"/>
        </w:rPr>
        <w:t>DES MATIÈRES</w:t>
      </w:r>
    </w:p>
    <w:p w14:paraId="29610A88" w14:textId="77777777" w:rsidR="00AC46D3" w:rsidRPr="005340E1" w:rsidRDefault="00AC46D3" w:rsidP="00AC46D3">
      <w:pPr>
        <w:jc w:val="center"/>
        <w:rPr>
          <w:rFonts w:ascii="Arial" w:hAnsi="Arial" w:cs="Arial"/>
          <w:b/>
          <w:highlight w:val="yellow"/>
          <w:lang w:val="fr-CA"/>
        </w:rPr>
      </w:pPr>
    </w:p>
    <w:p w14:paraId="0ADDD681" w14:textId="2E76D822" w:rsidR="00AC46D3" w:rsidRPr="005340E1" w:rsidRDefault="00AC46D3" w:rsidP="00AC46D3">
      <w:pPr>
        <w:rPr>
          <w:rFonts w:ascii="Arial" w:hAnsi="Arial" w:cs="Arial"/>
          <w:sz w:val="22"/>
          <w:szCs w:val="22"/>
          <w:lang w:val="fr-CA"/>
        </w:rPr>
      </w:pPr>
      <w:r w:rsidRPr="005340E1">
        <w:rPr>
          <w:rFonts w:ascii="Arial" w:hAnsi="Arial" w:cs="Arial"/>
          <w:b/>
          <w:sz w:val="22"/>
          <w:szCs w:val="22"/>
          <w:lang w:val="fr-CA"/>
        </w:rPr>
        <w:t>Chap</w:t>
      </w:r>
      <w:r w:rsidR="005E429B" w:rsidRPr="005340E1">
        <w:rPr>
          <w:rFonts w:ascii="Arial" w:hAnsi="Arial" w:cs="Arial"/>
          <w:b/>
          <w:sz w:val="22"/>
          <w:szCs w:val="22"/>
          <w:lang w:val="fr-CA"/>
        </w:rPr>
        <w:t>it</w:t>
      </w:r>
      <w:r w:rsidRPr="005340E1">
        <w:rPr>
          <w:rFonts w:ascii="Arial" w:hAnsi="Arial" w:cs="Arial"/>
          <w:b/>
          <w:sz w:val="22"/>
          <w:szCs w:val="22"/>
          <w:lang w:val="fr-CA"/>
        </w:rPr>
        <w:t>r</w:t>
      </w:r>
      <w:r w:rsidR="005E429B" w:rsidRPr="005340E1">
        <w:rPr>
          <w:rFonts w:ascii="Arial" w:hAnsi="Arial" w:cs="Arial"/>
          <w:b/>
          <w:sz w:val="22"/>
          <w:szCs w:val="22"/>
          <w:lang w:val="fr-CA"/>
        </w:rPr>
        <w:t>e</w:t>
      </w:r>
      <w:r w:rsidRPr="005340E1">
        <w:rPr>
          <w:rFonts w:ascii="Arial" w:hAnsi="Arial" w:cs="Arial"/>
          <w:b/>
          <w:sz w:val="22"/>
          <w:szCs w:val="22"/>
          <w:lang w:val="fr-CA"/>
        </w:rPr>
        <w:t xml:space="preserve"> 1</w:t>
      </w:r>
      <w:r w:rsidR="005E429B" w:rsidRPr="005340E1">
        <w:rPr>
          <w:rFonts w:ascii="Arial" w:hAnsi="Arial" w:cs="Arial"/>
          <w:b/>
          <w:sz w:val="22"/>
          <w:szCs w:val="22"/>
          <w:lang w:val="fr-CA"/>
        </w:rPr>
        <w:t> </w:t>
      </w:r>
      <w:r w:rsidRPr="005340E1">
        <w:rPr>
          <w:rFonts w:ascii="Arial" w:hAnsi="Arial" w:cs="Arial"/>
          <w:b/>
          <w:sz w:val="22"/>
          <w:szCs w:val="22"/>
          <w:lang w:val="fr-CA"/>
        </w:rPr>
        <w:t>: Introduction</w:t>
      </w:r>
      <w:r w:rsidRPr="005340E1">
        <w:rPr>
          <w:rFonts w:ascii="Arial" w:hAnsi="Arial" w:cs="Arial"/>
          <w:b/>
          <w:sz w:val="22"/>
          <w:szCs w:val="22"/>
          <w:lang w:val="fr-CA"/>
        </w:rPr>
        <w:tab/>
      </w:r>
      <w:r w:rsidRPr="005340E1">
        <w:rPr>
          <w:rFonts w:ascii="Arial" w:hAnsi="Arial" w:cs="Arial"/>
          <w:b/>
          <w:sz w:val="22"/>
          <w:szCs w:val="22"/>
          <w:lang w:val="fr-CA"/>
        </w:rPr>
        <w:tab/>
      </w:r>
      <w:r w:rsidRPr="005340E1">
        <w:rPr>
          <w:rFonts w:ascii="Arial" w:hAnsi="Arial" w:cs="Arial"/>
          <w:b/>
          <w:sz w:val="22"/>
          <w:szCs w:val="22"/>
          <w:lang w:val="fr-CA"/>
        </w:rPr>
        <w:tab/>
      </w:r>
      <w:r w:rsidRPr="005340E1">
        <w:rPr>
          <w:rFonts w:ascii="Arial" w:hAnsi="Arial" w:cs="Arial"/>
          <w:b/>
          <w:sz w:val="22"/>
          <w:szCs w:val="22"/>
          <w:lang w:val="fr-CA"/>
        </w:rPr>
        <w:tab/>
      </w:r>
      <w:r w:rsidRPr="005340E1">
        <w:rPr>
          <w:rFonts w:ascii="Arial" w:hAnsi="Arial" w:cs="Arial"/>
          <w:b/>
          <w:sz w:val="22"/>
          <w:szCs w:val="22"/>
          <w:lang w:val="fr-CA"/>
        </w:rPr>
        <w:tab/>
      </w:r>
      <w:r w:rsidRPr="005340E1">
        <w:rPr>
          <w:rFonts w:ascii="Arial" w:hAnsi="Arial" w:cs="Arial"/>
          <w:b/>
          <w:sz w:val="22"/>
          <w:szCs w:val="22"/>
          <w:lang w:val="fr-CA"/>
        </w:rPr>
        <w:tab/>
      </w:r>
      <w:r w:rsidRPr="005340E1">
        <w:rPr>
          <w:rFonts w:ascii="Arial" w:hAnsi="Arial" w:cs="Arial"/>
          <w:b/>
          <w:sz w:val="22"/>
          <w:szCs w:val="22"/>
          <w:lang w:val="fr-CA"/>
        </w:rPr>
        <w:tab/>
      </w:r>
      <w:r w:rsidRPr="005340E1">
        <w:rPr>
          <w:rFonts w:ascii="Arial" w:hAnsi="Arial" w:cs="Arial"/>
          <w:b/>
          <w:sz w:val="22"/>
          <w:szCs w:val="22"/>
          <w:lang w:val="fr-CA"/>
        </w:rPr>
        <w:tab/>
      </w:r>
      <w:r w:rsidRPr="005340E1">
        <w:rPr>
          <w:rFonts w:ascii="Arial" w:hAnsi="Arial" w:cs="Arial"/>
          <w:b/>
          <w:sz w:val="22"/>
          <w:szCs w:val="22"/>
          <w:lang w:val="fr-CA"/>
        </w:rPr>
        <w:tab/>
      </w:r>
      <w:r w:rsidRPr="005340E1">
        <w:rPr>
          <w:rFonts w:ascii="Arial" w:hAnsi="Arial" w:cs="Arial"/>
          <w:sz w:val="22"/>
          <w:szCs w:val="22"/>
          <w:lang w:val="fr-CA"/>
        </w:rPr>
        <w:t>3</w:t>
      </w:r>
    </w:p>
    <w:p w14:paraId="7B7AD732" w14:textId="6BD2A205" w:rsidR="00AC46D3" w:rsidRPr="005340E1" w:rsidRDefault="006801C0" w:rsidP="00AC46D3">
      <w:pPr>
        <w:ind w:firstLine="360"/>
        <w:rPr>
          <w:rFonts w:ascii="Arial" w:hAnsi="Arial" w:cs="Arial"/>
          <w:sz w:val="22"/>
          <w:szCs w:val="22"/>
          <w:lang w:val="fr-CA"/>
        </w:rPr>
      </w:pPr>
      <w:r w:rsidRPr="005340E1">
        <w:rPr>
          <w:rFonts w:ascii="Arial" w:hAnsi="Arial" w:cs="Arial"/>
          <w:sz w:val="22"/>
          <w:szCs w:val="22"/>
          <w:lang w:val="fr-CA"/>
        </w:rPr>
        <w:t>Aperçu du chapitre</w:t>
      </w:r>
      <w:r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t>3</w:t>
      </w:r>
    </w:p>
    <w:p w14:paraId="329E8C2E" w14:textId="21F976CC" w:rsidR="00AC46D3" w:rsidRPr="005340E1" w:rsidRDefault="00393F37" w:rsidP="00AC46D3">
      <w:pPr>
        <w:ind w:firstLine="360"/>
        <w:rPr>
          <w:rFonts w:ascii="Arial" w:hAnsi="Arial" w:cs="Arial"/>
          <w:sz w:val="22"/>
          <w:szCs w:val="22"/>
          <w:lang w:val="fr-CA"/>
        </w:rPr>
      </w:pPr>
      <w:r w:rsidRPr="005340E1">
        <w:rPr>
          <w:rFonts w:ascii="Arial" w:hAnsi="Arial" w:cs="Arial"/>
          <w:sz w:val="22"/>
          <w:szCs w:val="22"/>
          <w:lang w:val="fr-CA"/>
        </w:rPr>
        <w:t>Dé</w:t>
      </w:r>
      <w:r w:rsidR="00AC46D3" w:rsidRPr="005340E1">
        <w:rPr>
          <w:rFonts w:ascii="Arial" w:hAnsi="Arial" w:cs="Arial"/>
          <w:sz w:val="22"/>
          <w:szCs w:val="22"/>
          <w:lang w:val="fr-CA"/>
        </w:rPr>
        <w:t xml:space="preserve">finition </w:t>
      </w:r>
      <w:r w:rsidRPr="005340E1">
        <w:rPr>
          <w:rFonts w:ascii="Arial" w:hAnsi="Arial" w:cs="Arial"/>
          <w:sz w:val="22"/>
          <w:szCs w:val="22"/>
          <w:lang w:val="fr-CA"/>
        </w:rPr>
        <w:t>des termes</w:t>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t>3</w:t>
      </w:r>
    </w:p>
    <w:p w14:paraId="35D6B464" w14:textId="01240E4F" w:rsidR="00393F37" w:rsidRPr="005340E1" w:rsidRDefault="00393F37" w:rsidP="00393F37">
      <w:pPr>
        <w:ind w:firstLine="360"/>
        <w:rPr>
          <w:rFonts w:ascii="Arial" w:hAnsi="Arial" w:cs="Arial"/>
          <w:sz w:val="22"/>
          <w:szCs w:val="22"/>
          <w:lang w:val="fr-CA"/>
        </w:rPr>
      </w:pPr>
      <w:r w:rsidRPr="005340E1">
        <w:rPr>
          <w:rFonts w:ascii="Arial" w:hAnsi="Arial" w:cs="Arial"/>
          <w:sz w:val="22"/>
          <w:szCs w:val="22"/>
          <w:lang w:val="fr-CA"/>
        </w:rPr>
        <w:t>Revue des écrits</w:t>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t>3</w:t>
      </w:r>
    </w:p>
    <w:p w14:paraId="0C473AFE" w14:textId="08D343E9" w:rsidR="00393F37" w:rsidRPr="005340E1" w:rsidRDefault="00393F37" w:rsidP="00393F37">
      <w:pPr>
        <w:ind w:firstLine="360"/>
        <w:rPr>
          <w:rFonts w:ascii="Arial" w:hAnsi="Arial" w:cs="Arial"/>
          <w:sz w:val="22"/>
          <w:szCs w:val="22"/>
          <w:lang w:val="fr-CA"/>
        </w:rPr>
      </w:pPr>
      <w:r w:rsidRPr="005340E1">
        <w:rPr>
          <w:rFonts w:ascii="Arial" w:hAnsi="Arial" w:cs="Arial"/>
          <w:sz w:val="22"/>
          <w:szCs w:val="22"/>
          <w:lang w:val="fr-CA"/>
        </w:rPr>
        <w:t>Nécessité de mettre en place des mesures normalisées pour évaluer</w:t>
      </w:r>
    </w:p>
    <w:p w14:paraId="1E5170CB" w14:textId="11BB76ED" w:rsidR="00AC46D3" w:rsidRPr="005340E1" w:rsidRDefault="00393F37" w:rsidP="00393F37">
      <w:pPr>
        <w:ind w:left="720" w:firstLine="720"/>
        <w:rPr>
          <w:rFonts w:ascii="Arial" w:hAnsi="Arial" w:cs="Arial"/>
          <w:sz w:val="22"/>
          <w:szCs w:val="22"/>
          <w:lang w:val="fr-CA"/>
        </w:rPr>
      </w:pPr>
      <w:r w:rsidRPr="005340E1">
        <w:rPr>
          <w:rFonts w:ascii="Arial" w:hAnsi="Arial" w:cs="Arial"/>
          <w:sz w:val="22"/>
          <w:szCs w:val="22"/>
          <w:lang w:val="fr-CA"/>
        </w:rPr>
        <w:t>la préparation à la transition</w:t>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5F5F50" w:rsidRPr="005340E1">
        <w:rPr>
          <w:rFonts w:ascii="Arial" w:hAnsi="Arial" w:cs="Arial"/>
          <w:sz w:val="22"/>
          <w:szCs w:val="22"/>
          <w:lang w:val="fr-CA"/>
        </w:rPr>
        <w:t>4</w:t>
      </w:r>
    </w:p>
    <w:p w14:paraId="3560F0A4" w14:textId="6F3BB277" w:rsidR="005F5F50" w:rsidRPr="005340E1" w:rsidRDefault="005E429B" w:rsidP="00AC46D3">
      <w:pPr>
        <w:ind w:firstLine="360"/>
        <w:rPr>
          <w:rFonts w:ascii="Arial" w:hAnsi="Arial" w:cs="Arial"/>
          <w:sz w:val="22"/>
          <w:szCs w:val="22"/>
          <w:lang w:val="fr-CA"/>
        </w:rPr>
      </w:pPr>
      <w:r w:rsidRPr="005340E1">
        <w:rPr>
          <w:rFonts w:ascii="Arial" w:hAnsi="Arial" w:cs="Arial"/>
          <w:sz w:val="22"/>
          <w:szCs w:val="22"/>
          <w:lang w:val="fr-CA"/>
        </w:rPr>
        <w:t>Élaboration de la grille</w:t>
      </w:r>
      <w:r w:rsidRPr="005340E1">
        <w:rPr>
          <w:rFonts w:ascii="Arial" w:hAnsi="Arial" w:cs="Arial"/>
          <w:b/>
          <w:i/>
          <w:sz w:val="22"/>
          <w:szCs w:val="22"/>
          <w:lang w:val="fr-CA"/>
        </w:rPr>
        <w:t xml:space="preserve"> </w:t>
      </w:r>
      <w:r w:rsidR="00F56908" w:rsidRPr="005340E1">
        <w:rPr>
          <w:rFonts w:ascii="Arial" w:hAnsi="Arial" w:cs="Arial"/>
          <w:sz w:val="22"/>
          <w:szCs w:val="22"/>
          <w:lang w:val="fr-CA"/>
        </w:rPr>
        <w:t>ATR</w:t>
      </w:r>
      <w:r w:rsidR="00F56908" w:rsidRPr="005340E1">
        <w:rPr>
          <w:rFonts w:ascii="Arial" w:hAnsi="Arial" w:cs="Arial"/>
          <w:sz w:val="22"/>
          <w:szCs w:val="22"/>
          <w:vertAlign w:val="superscript"/>
          <w:lang w:val="fr-CA"/>
        </w:rPr>
        <w:t>©</w:t>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t>5</w:t>
      </w:r>
    </w:p>
    <w:p w14:paraId="62FC95B3" w14:textId="4E10A97A" w:rsidR="00AC46D3" w:rsidRPr="005340E1" w:rsidRDefault="005E429B" w:rsidP="00AC46D3">
      <w:pPr>
        <w:ind w:firstLine="360"/>
        <w:rPr>
          <w:rFonts w:ascii="Arial" w:hAnsi="Arial" w:cs="Arial"/>
          <w:sz w:val="22"/>
          <w:szCs w:val="22"/>
          <w:lang w:val="fr-CA"/>
        </w:rPr>
      </w:pPr>
      <w:r w:rsidRPr="005340E1">
        <w:rPr>
          <w:rFonts w:ascii="Arial" w:hAnsi="Arial" w:cs="Arial"/>
          <w:sz w:val="22"/>
          <w:szCs w:val="22"/>
          <w:lang w:val="fr-CA"/>
        </w:rPr>
        <w:t>Caractéristiques évaluées par la grille</w:t>
      </w:r>
      <w:r w:rsidRPr="005340E1">
        <w:rPr>
          <w:rFonts w:ascii="Arial" w:hAnsi="Arial" w:cs="Arial"/>
          <w:b/>
          <w:i/>
          <w:sz w:val="22"/>
          <w:szCs w:val="22"/>
          <w:lang w:val="fr-CA"/>
        </w:rPr>
        <w:t xml:space="preserve"> </w:t>
      </w:r>
      <w:r w:rsidR="00F56908" w:rsidRPr="005340E1">
        <w:rPr>
          <w:rFonts w:ascii="Arial" w:hAnsi="Arial" w:cs="Arial"/>
          <w:sz w:val="22"/>
          <w:szCs w:val="22"/>
          <w:lang w:val="fr-CA"/>
        </w:rPr>
        <w:t>ATR</w:t>
      </w:r>
      <w:r w:rsidR="00F56908" w:rsidRPr="005340E1">
        <w:rPr>
          <w:rFonts w:ascii="Arial" w:hAnsi="Arial" w:cs="Arial"/>
          <w:sz w:val="22"/>
          <w:szCs w:val="22"/>
          <w:vertAlign w:val="superscript"/>
          <w:lang w:val="fr-CA"/>
        </w:rPr>
        <w:t>©</w:t>
      </w:r>
      <w:r w:rsidR="00AC46D3" w:rsidRPr="005340E1">
        <w:rPr>
          <w:rFonts w:ascii="Arial" w:hAnsi="Arial" w:cs="Arial"/>
          <w:sz w:val="22"/>
          <w:szCs w:val="22"/>
          <w:lang w:val="fr-CA"/>
        </w:rPr>
        <w:tab/>
      </w:r>
      <w:r w:rsidRPr="005340E1">
        <w:rPr>
          <w:rFonts w:ascii="Arial" w:hAnsi="Arial" w:cs="Arial"/>
          <w:sz w:val="22"/>
          <w:szCs w:val="22"/>
          <w:lang w:val="fr-CA"/>
        </w:rPr>
        <w:tab/>
      </w:r>
      <w:r w:rsidR="00AC46D3" w:rsidRPr="005340E1">
        <w:rPr>
          <w:rFonts w:ascii="Arial" w:hAnsi="Arial" w:cs="Arial"/>
          <w:sz w:val="22"/>
          <w:szCs w:val="22"/>
          <w:lang w:val="fr-CA"/>
        </w:rPr>
        <w:tab/>
      </w:r>
      <w:r w:rsidR="003C71D7">
        <w:rPr>
          <w:rFonts w:ascii="Arial" w:hAnsi="Arial" w:cs="Arial"/>
          <w:sz w:val="22"/>
          <w:szCs w:val="22"/>
          <w:lang w:val="fr-CA"/>
        </w:rPr>
        <w:tab/>
      </w:r>
      <w:r w:rsidR="003C71D7">
        <w:rPr>
          <w:rFonts w:ascii="Arial" w:hAnsi="Arial" w:cs="Arial"/>
          <w:sz w:val="22"/>
          <w:szCs w:val="22"/>
          <w:lang w:val="fr-CA"/>
        </w:rPr>
        <w:tab/>
      </w:r>
      <w:r w:rsidR="00AC46D3" w:rsidRPr="005340E1">
        <w:rPr>
          <w:rFonts w:ascii="Arial" w:hAnsi="Arial" w:cs="Arial"/>
          <w:sz w:val="22"/>
          <w:szCs w:val="22"/>
          <w:lang w:val="fr-CA"/>
        </w:rPr>
        <w:tab/>
      </w:r>
      <w:r w:rsidR="005F5F50" w:rsidRPr="005340E1">
        <w:rPr>
          <w:rFonts w:ascii="Arial" w:hAnsi="Arial" w:cs="Arial"/>
          <w:sz w:val="22"/>
          <w:szCs w:val="22"/>
          <w:lang w:val="fr-CA"/>
        </w:rPr>
        <w:t>5</w:t>
      </w:r>
    </w:p>
    <w:p w14:paraId="0F07D0DE" w14:textId="3198E1A8" w:rsidR="00AC46D3" w:rsidRPr="005340E1" w:rsidRDefault="005E429B" w:rsidP="00AC46D3">
      <w:pPr>
        <w:ind w:firstLine="360"/>
        <w:rPr>
          <w:rFonts w:ascii="Arial" w:hAnsi="Arial" w:cs="Arial"/>
          <w:sz w:val="22"/>
          <w:szCs w:val="22"/>
          <w:lang w:val="fr-CA"/>
        </w:rPr>
      </w:pPr>
      <w:r w:rsidRPr="005340E1">
        <w:rPr>
          <w:rFonts w:ascii="Arial" w:hAnsi="Arial" w:cs="Arial"/>
          <w:sz w:val="22"/>
          <w:szCs w:val="22"/>
          <w:lang w:val="fr-CA"/>
        </w:rPr>
        <w:t>Avantages d’utiliser la grille</w:t>
      </w:r>
      <w:r w:rsidRPr="005340E1">
        <w:rPr>
          <w:rFonts w:ascii="Arial" w:hAnsi="Arial" w:cs="Arial"/>
          <w:b/>
          <w:i/>
          <w:sz w:val="22"/>
          <w:szCs w:val="22"/>
          <w:lang w:val="fr-CA"/>
        </w:rPr>
        <w:t xml:space="preserve"> </w:t>
      </w:r>
      <w:r w:rsidR="00F56908" w:rsidRPr="005340E1">
        <w:rPr>
          <w:rFonts w:ascii="Arial" w:hAnsi="Arial" w:cs="Arial"/>
          <w:sz w:val="22"/>
          <w:szCs w:val="22"/>
          <w:lang w:val="fr-CA"/>
        </w:rPr>
        <w:t>ATR</w:t>
      </w:r>
      <w:r w:rsidR="00F56908" w:rsidRPr="005340E1">
        <w:rPr>
          <w:rFonts w:ascii="Arial" w:hAnsi="Arial" w:cs="Arial"/>
          <w:sz w:val="22"/>
          <w:szCs w:val="22"/>
          <w:vertAlign w:val="superscript"/>
          <w:lang w:val="fr-CA"/>
        </w:rPr>
        <w:t>©</w:t>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5F5F50" w:rsidRPr="005340E1">
        <w:rPr>
          <w:rFonts w:ascii="Arial" w:hAnsi="Arial" w:cs="Arial"/>
          <w:sz w:val="22"/>
          <w:szCs w:val="22"/>
          <w:lang w:val="fr-CA"/>
        </w:rPr>
        <w:t>5</w:t>
      </w:r>
    </w:p>
    <w:p w14:paraId="39E48A26" w14:textId="09D0CF49" w:rsidR="00AC46D3" w:rsidRPr="005340E1" w:rsidRDefault="005E429B" w:rsidP="00AC46D3">
      <w:pPr>
        <w:ind w:firstLine="360"/>
        <w:rPr>
          <w:rFonts w:ascii="Arial" w:hAnsi="Arial" w:cs="Arial"/>
          <w:sz w:val="22"/>
          <w:szCs w:val="22"/>
          <w:lang w:val="fr-CA"/>
        </w:rPr>
      </w:pPr>
      <w:r w:rsidRPr="005340E1">
        <w:rPr>
          <w:rFonts w:ascii="Arial" w:hAnsi="Arial" w:cs="Arial"/>
          <w:sz w:val="22"/>
          <w:szCs w:val="22"/>
          <w:lang w:val="fr-CA"/>
        </w:rPr>
        <w:t>Comment ne pas utiliser la grille</w:t>
      </w:r>
      <w:r w:rsidRPr="005340E1">
        <w:rPr>
          <w:rFonts w:ascii="Arial" w:hAnsi="Arial" w:cs="Arial"/>
          <w:b/>
          <w:i/>
          <w:sz w:val="22"/>
          <w:szCs w:val="22"/>
          <w:lang w:val="fr-CA"/>
        </w:rPr>
        <w:t xml:space="preserve"> </w:t>
      </w:r>
      <w:r w:rsidR="00F56908" w:rsidRPr="005340E1">
        <w:rPr>
          <w:rFonts w:ascii="Arial" w:hAnsi="Arial" w:cs="Arial"/>
          <w:sz w:val="22"/>
          <w:szCs w:val="22"/>
          <w:lang w:val="fr-CA"/>
        </w:rPr>
        <w:t>ATR</w:t>
      </w:r>
      <w:r w:rsidR="00F56908" w:rsidRPr="005340E1">
        <w:rPr>
          <w:rFonts w:ascii="Arial" w:hAnsi="Arial" w:cs="Arial"/>
          <w:sz w:val="22"/>
          <w:szCs w:val="22"/>
          <w:vertAlign w:val="superscript"/>
          <w:lang w:val="fr-CA"/>
        </w:rPr>
        <w:t>©</w:t>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r>
      <w:r w:rsidR="00AC46D3" w:rsidRPr="005340E1">
        <w:rPr>
          <w:rFonts w:ascii="Arial" w:hAnsi="Arial" w:cs="Arial"/>
          <w:sz w:val="22"/>
          <w:szCs w:val="22"/>
          <w:lang w:val="fr-CA"/>
        </w:rPr>
        <w:tab/>
        <w:t>6</w:t>
      </w:r>
    </w:p>
    <w:p w14:paraId="0F94A1CF" w14:textId="77777777" w:rsidR="00AC46D3" w:rsidRPr="005340E1" w:rsidRDefault="00AC46D3" w:rsidP="00AC46D3">
      <w:pPr>
        <w:rPr>
          <w:rFonts w:ascii="Arial" w:hAnsi="Arial" w:cs="Arial"/>
          <w:sz w:val="22"/>
          <w:szCs w:val="22"/>
          <w:lang w:val="fr-CA"/>
        </w:rPr>
      </w:pPr>
    </w:p>
    <w:p w14:paraId="5410390C" w14:textId="110CB242" w:rsidR="00AC46D3" w:rsidRPr="005340E1" w:rsidRDefault="00AC46D3" w:rsidP="00AC46D3">
      <w:pPr>
        <w:rPr>
          <w:rFonts w:ascii="Arial" w:hAnsi="Arial" w:cs="Arial"/>
          <w:sz w:val="22"/>
          <w:szCs w:val="22"/>
          <w:lang w:val="fr-CA"/>
        </w:rPr>
      </w:pPr>
      <w:r w:rsidRPr="005340E1">
        <w:rPr>
          <w:rFonts w:ascii="Arial" w:hAnsi="Arial" w:cs="Arial"/>
          <w:b/>
          <w:sz w:val="22"/>
          <w:szCs w:val="22"/>
          <w:lang w:val="fr-CA"/>
        </w:rPr>
        <w:t>Chap</w:t>
      </w:r>
      <w:r w:rsidR="00291F74" w:rsidRPr="005340E1">
        <w:rPr>
          <w:rFonts w:ascii="Arial" w:hAnsi="Arial" w:cs="Arial"/>
          <w:b/>
          <w:sz w:val="22"/>
          <w:szCs w:val="22"/>
          <w:lang w:val="fr-CA"/>
        </w:rPr>
        <w:t>it</w:t>
      </w:r>
      <w:r w:rsidRPr="005340E1">
        <w:rPr>
          <w:rFonts w:ascii="Arial" w:hAnsi="Arial" w:cs="Arial"/>
          <w:b/>
          <w:sz w:val="22"/>
          <w:szCs w:val="22"/>
          <w:lang w:val="fr-CA"/>
        </w:rPr>
        <w:t>r</w:t>
      </w:r>
      <w:r w:rsidR="00291F74" w:rsidRPr="005340E1">
        <w:rPr>
          <w:rFonts w:ascii="Arial" w:hAnsi="Arial" w:cs="Arial"/>
          <w:b/>
          <w:sz w:val="22"/>
          <w:szCs w:val="22"/>
          <w:lang w:val="fr-CA"/>
        </w:rPr>
        <w:t>e</w:t>
      </w:r>
      <w:r w:rsidRPr="005340E1">
        <w:rPr>
          <w:rFonts w:ascii="Arial" w:hAnsi="Arial" w:cs="Arial"/>
          <w:b/>
          <w:sz w:val="22"/>
          <w:szCs w:val="22"/>
          <w:lang w:val="fr-CA"/>
        </w:rPr>
        <w:t xml:space="preserve"> 2</w:t>
      </w:r>
      <w:r w:rsidR="00291F74" w:rsidRPr="005340E1">
        <w:rPr>
          <w:rFonts w:ascii="Arial" w:hAnsi="Arial" w:cs="Arial"/>
          <w:b/>
          <w:sz w:val="22"/>
          <w:szCs w:val="22"/>
          <w:lang w:val="fr-CA"/>
        </w:rPr>
        <w:t> </w:t>
      </w:r>
      <w:r w:rsidRPr="005340E1">
        <w:rPr>
          <w:rFonts w:ascii="Arial" w:hAnsi="Arial" w:cs="Arial"/>
          <w:b/>
          <w:sz w:val="22"/>
          <w:szCs w:val="22"/>
          <w:lang w:val="fr-CA"/>
        </w:rPr>
        <w:t xml:space="preserve">: </w:t>
      </w:r>
      <w:r w:rsidR="00175603" w:rsidRPr="005340E1">
        <w:rPr>
          <w:rFonts w:ascii="Arial" w:hAnsi="Arial" w:cs="Arial"/>
          <w:b/>
          <w:sz w:val="22"/>
          <w:szCs w:val="22"/>
          <w:lang w:val="fr-CA"/>
        </w:rPr>
        <w:t>Notation et interprétation de la grille ATR</w:t>
      </w:r>
      <w:r w:rsidR="00175603" w:rsidRPr="005340E1">
        <w:rPr>
          <w:rFonts w:ascii="Arial" w:hAnsi="Arial" w:cs="Arial"/>
          <w:b/>
          <w:sz w:val="22"/>
          <w:szCs w:val="22"/>
          <w:vertAlign w:val="superscript"/>
          <w:lang w:val="fr-CA"/>
        </w:rPr>
        <w:t>©</w:t>
      </w:r>
      <w:r w:rsidR="00175603" w:rsidRPr="005340E1">
        <w:rPr>
          <w:rFonts w:ascii="Arial" w:hAnsi="Arial" w:cs="Arial"/>
          <w:sz w:val="22"/>
          <w:szCs w:val="22"/>
          <w:lang w:val="fr-CA"/>
        </w:rPr>
        <w:tab/>
      </w:r>
      <w:r w:rsidR="00175603" w:rsidRPr="005340E1">
        <w:rPr>
          <w:rFonts w:ascii="Arial" w:hAnsi="Arial" w:cs="Arial"/>
          <w:sz w:val="22"/>
          <w:szCs w:val="22"/>
          <w:lang w:val="fr-CA"/>
        </w:rPr>
        <w:tab/>
      </w:r>
      <w:r w:rsidR="00175603"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005F5F50" w:rsidRPr="005340E1">
        <w:rPr>
          <w:rFonts w:ascii="Arial" w:hAnsi="Arial" w:cs="Arial"/>
          <w:sz w:val="22"/>
          <w:szCs w:val="22"/>
          <w:lang w:val="fr-CA"/>
        </w:rPr>
        <w:t>7</w:t>
      </w:r>
    </w:p>
    <w:p w14:paraId="0D6959B4" w14:textId="7437CD34" w:rsidR="00C452B3" w:rsidRPr="005340E1" w:rsidRDefault="006801C0" w:rsidP="00C452B3">
      <w:pPr>
        <w:ind w:firstLine="360"/>
        <w:rPr>
          <w:rFonts w:ascii="Arial" w:hAnsi="Arial" w:cs="Arial"/>
          <w:sz w:val="22"/>
          <w:szCs w:val="22"/>
          <w:lang w:val="fr-CA"/>
        </w:rPr>
      </w:pPr>
      <w:r w:rsidRPr="005340E1">
        <w:rPr>
          <w:rFonts w:ascii="Arial" w:hAnsi="Arial" w:cs="Arial"/>
          <w:sz w:val="22"/>
          <w:szCs w:val="22"/>
          <w:lang w:val="fr-CA"/>
        </w:rPr>
        <w:t>Aperçu du chapitre</w:t>
      </w:r>
      <w:r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5F5F50" w:rsidRPr="005340E1">
        <w:rPr>
          <w:rFonts w:ascii="Arial" w:hAnsi="Arial" w:cs="Arial"/>
          <w:sz w:val="22"/>
          <w:szCs w:val="22"/>
          <w:lang w:val="fr-CA"/>
        </w:rPr>
        <w:t>7</w:t>
      </w:r>
    </w:p>
    <w:p w14:paraId="1DA307CA" w14:textId="11F2B2A3" w:rsidR="00C452B3" w:rsidRPr="005340E1" w:rsidRDefault="00175603" w:rsidP="00C452B3">
      <w:pPr>
        <w:ind w:firstLine="360"/>
        <w:rPr>
          <w:rFonts w:ascii="Arial" w:hAnsi="Arial" w:cs="Arial"/>
          <w:sz w:val="22"/>
          <w:szCs w:val="22"/>
          <w:lang w:val="fr-CA"/>
        </w:rPr>
      </w:pPr>
      <w:r w:rsidRPr="005340E1">
        <w:rPr>
          <w:rFonts w:ascii="Arial" w:hAnsi="Arial" w:cs="Arial"/>
          <w:sz w:val="22"/>
          <w:szCs w:val="22"/>
          <w:lang w:val="fr-CA"/>
        </w:rPr>
        <w:t xml:space="preserve">Notation de la grille </w:t>
      </w:r>
      <w:r w:rsidR="00F56908" w:rsidRPr="005340E1">
        <w:rPr>
          <w:rFonts w:ascii="Arial" w:hAnsi="Arial" w:cs="Arial"/>
          <w:sz w:val="22"/>
          <w:szCs w:val="22"/>
          <w:lang w:val="fr-CA"/>
        </w:rPr>
        <w:t>ATR</w:t>
      </w:r>
      <w:r w:rsidR="00F56908" w:rsidRPr="005340E1">
        <w:rPr>
          <w:rFonts w:ascii="Arial" w:hAnsi="Arial" w:cs="Arial"/>
          <w:sz w:val="22"/>
          <w:szCs w:val="22"/>
          <w:vertAlign w:val="superscript"/>
          <w:lang w:val="fr-CA"/>
        </w:rPr>
        <w:t>©</w:t>
      </w:r>
      <w:r w:rsidRPr="005340E1">
        <w:rPr>
          <w:rFonts w:ascii="Arial" w:hAnsi="Arial" w:cs="Arial"/>
          <w:sz w:val="22"/>
          <w:szCs w:val="22"/>
          <w:lang w:val="fr-CA"/>
        </w:rPr>
        <w:tab/>
      </w:r>
      <w:r w:rsidR="00C452B3" w:rsidRPr="005340E1">
        <w:rPr>
          <w:rFonts w:ascii="Arial" w:hAnsi="Arial" w:cs="Arial"/>
          <w:sz w:val="22"/>
          <w:szCs w:val="22"/>
          <w:lang w:val="fr-CA"/>
        </w:rPr>
        <w:tab/>
      </w:r>
      <w:r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5F5F50" w:rsidRPr="005340E1">
        <w:rPr>
          <w:rFonts w:ascii="Arial" w:hAnsi="Arial" w:cs="Arial"/>
          <w:sz w:val="22"/>
          <w:szCs w:val="22"/>
          <w:lang w:val="fr-CA"/>
        </w:rPr>
        <w:t>7</w:t>
      </w:r>
    </w:p>
    <w:p w14:paraId="126E891B" w14:textId="21815F98" w:rsidR="00C452B3" w:rsidRPr="005340E1" w:rsidRDefault="005E429B" w:rsidP="00C452B3">
      <w:pPr>
        <w:ind w:firstLine="360"/>
        <w:rPr>
          <w:rFonts w:ascii="Arial" w:hAnsi="Arial" w:cs="Arial"/>
          <w:sz w:val="22"/>
          <w:szCs w:val="22"/>
          <w:lang w:val="fr-CA"/>
        </w:rPr>
      </w:pPr>
      <w:r w:rsidRPr="005340E1">
        <w:rPr>
          <w:rFonts w:ascii="Arial" w:hAnsi="Arial" w:cs="Arial"/>
          <w:sz w:val="22"/>
          <w:szCs w:val="22"/>
          <w:lang w:val="fr-CA"/>
        </w:rPr>
        <w:t>Scores à inverser</w:t>
      </w:r>
      <w:r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5F5F50" w:rsidRPr="005340E1">
        <w:rPr>
          <w:rFonts w:ascii="Arial" w:hAnsi="Arial" w:cs="Arial"/>
          <w:sz w:val="22"/>
          <w:szCs w:val="22"/>
          <w:lang w:val="fr-CA"/>
        </w:rPr>
        <w:t>7</w:t>
      </w:r>
    </w:p>
    <w:p w14:paraId="358E978B" w14:textId="5AD2DBFB" w:rsidR="00C452B3" w:rsidRPr="005340E1" w:rsidRDefault="00A04F91" w:rsidP="00C452B3">
      <w:pPr>
        <w:ind w:firstLine="360"/>
        <w:rPr>
          <w:rFonts w:ascii="Arial" w:hAnsi="Arial" w:cs="Arial"/>
          <w:sz w:val="22"/>
          <w:szCs w:val="22"/>
          <w:lang w:val="fr-CA"/>
        </w:rPr>
      </w:pPr>
      <w:r w:rsidRPr="005340E1">
        <w:rPr>
          <w:rFonts w:ascii="Arial" w:hAnsi="Arial" w:cs="Arial"/>
          <w:sz w:val="22"/>
          <w:szCs w:val="22"/>
          <w:lang w:val="fr-CA"/>
        </w:rPr>
        <w:t>Réponses manquantes</w:t>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5F5F50" w:rsidRPr="005340E1">
        <w:rPr>
          <w:rFonts w:ascii="Arial" w:hAnsi="Arial" w:cs="Arial"/>
          <w:sz w:val="22"/>
          <w:szCs w:val="22"/>
          <w:lang w:val="fr-CA"/>
        </w:rPr>
        <w:t>8</w:t>
      </w:r>
    </w:p>
    <w:p w14:paraId="3A5874F5" w14:textId="37262BE5" w:rsidR="00C452B3" w:rsidRPr="005340E1" w:rsidRDefault="00221934" w:rsidP="00C452B3">
      <w:pPr>
        <w:ind w:firstLine="360"/>
        <w:rPr>
          <w:rFonts w:ascii="Arial" w:hAnsi="Arial" w:cs="Arial"/>
          <w:sz w:val="22"/>
          <w:szCs w:val="22"/>
          <w:highlight w:val="yellow"/>
          <w:lang w:val="fr-CA"/>
        </w:rPr>
      </w:pPr>
      <w:r w:rsidRPr="005340E1">
        <w:rPr>
          <w:rFonts w:ascii="Arial" w:hAnsi="Arial" w:cs="Arial"/>
          <w:sz w:val="22"/>
          <w:szCs w:val="22"/>
          <w:lang w:val="fr-CA"/>
        </w:rPr>
        <w:t>Scores à la grille ATR</w:t>
      </w:r>
      <w:r w:rsidRPr="005340E1">
        <w:rPr>
          <w:rFonts w:ascii="Arial" w:hAnsi="Arial" w:cs="Arial"/>
          <w:sz w:val="22"/>
          <w:szCs w:val="22"/>
          <w:vertAlign w:val="superscript"/>
          <w:lang w:val="fr-CA"/>
        </w:rPr>
        <w:t>©</w:t>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00175603" w:rsidRPr="005340E1">
        <w:rPr>
          <w:rFonts w:ascii="Arial" w:hAnsi="Arial" w:cs="Arial"/>
          <w:sz w:val="22"/>
          <w:szCs w:val="22"/>
          <w:lang w:val="fr-CA"/>
        </w:rPr>
        <w:tab/>
      </w:r>
      <w:r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175603" w:rsidRPr="005340E1">
        <w:rPr>
          <w:rFonts w:ascii="Arial" w:hAnsi="Arial" w:cs="Arial"/>
          <w:sz w:val="22"/>
          <w:szCs w:val="22"/>
          <w:lang w:val="fr-CA"/>
        </w:rPr>
        <w:tab/>
      </w:r>
      <w:r w:rsidR="00C452B3" w:rsidRPr="005340E1">
        <w:rPr>
          <w:rFonts w:ascii="Arial" w:hAnsi="Arial" w:cs="Arial"/>
          <w:sz w:val="22"/>
          <w:szCs w:val="22"/>
          <w:lang w:val="fr-CA"/>
        </w:rPr>
        <w:tab/>
      </w:r>
      <w:r w:rsidR="005F5F50" w:rsidRPr="005340E1">
        <w:rPr>
          <w:rFonts w:ascii="Arial" w:hAnsi="Arial" w:cs="Arial"/>
          <w:sz w:val="22"/>
          <w:szCs w:val="22"/>
          <w:lang w:val="fr-CA"/>
        </w:rPr>
        <w:t>8</w:t>
      </w:r>
    </w:p>
    <w:p w14:paraId="6E8B9D17" w14:textId="2B4FF460" w:rsidR="00C452B3" w:rsidRPr="005340E1" w:rsidRDefault="00221934" w:rsidP="00C452B3">
      <w:pPr>
        <w:ind w:firstLine="360"/>
        <w:rPr>
          <w:rFonts w:ascii="Arial" w:hAnsi="Arial" w:cs="Arial"/>
          <w:sz w:val="22"/>
          <w:szCs w:val="22"/>
          <w:lang w:val="fr-CA"/>
        </w:rPr>
      </w:pPr>
      <w:r w:rsidRPr="005340E1">
        <w:rPr>
          <w:rFonts w:ascii="Arial" w:hAnsi="Arial" w:cs="Arial"/>
          <w:sz w:val="22"/>
          <w:szCs w:val="22"/>
          <w:lang w:val="fr-CA"/>
        </w:rPr>
        <w:tab/>
        <w:t>Score total</w:t>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5F5F50" w:rsidRPr="005340E1">
        <w:rPr>
          <w:rFonts w:ascii="Arial" w:hAnsi="Arial" w:cs="Arial"/>
          <w:sz w:val="22"/>
          <w:szCs w:val="22"/>
          <w:lang w:val="fr-CA"/>
        </w:rPr>
        <w:t>8</w:t>
      </w:r>
    </w:p>
    <w:p w14:paraId="7D165D22" w14:textId="11FCB3E2" w:rsidR="00C452B3" w:rsidRPr="005340E1" w:rsidRDefault="00C452B3" w:rsidP="00C452B3">
      <w:pPr>
        <w:ind w:firstLine="360"/>
        <w:rPr>
          <w:rFonts w:ascii="Arial" w:hAnsi="Arial" w:cs="Arial"/>
          <w:sz w:val="22"/>
          <w:szCs w:val="22"/>
          <w:lang w:val="fr-CA"/>
        </w:rPr>
      </w:pPr>
      <w:r w:rsidRPr="005340E1">
        <w:rPr>
          <w:rFonts w:ascii="Arial" w:hAnsi="Arial" w:cs="Arial"/>
          <w:sz w:val="22"/>
          <w:szCs w:val="22"/>
          <w:lang w:val="fr-CA"/>
        </w:rPr>
        <w:tab/>
      </w:r>
      <w:r w:rsidR="00221934" w:rsidRPr="005340E1">
        <w:rPr>
          <w:rFonts w:ascii="Arial" w:hAnsi="Arial" w:cs="Arial"/>
          <w:sz w:val="22"/>
          <w:szCs w:val="22"/>
          <w:lang w:val="fr-CA"/>
        </w:rPr>
        <w:t>Score moyen</w:t>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005F5F50" w:rsidRPr="005340E1">
        <w:rPr>
          <w:rFonts w:ascii="Arial" w:hAnsi="Arial" w:cs="Arial"/>
          <w:sz w:val="22"/>
          <w:szCs w:val="22"/>
          <w:lang w:val="fr-CA"/>
        </w:rPr>
        <w:t>8</w:t>
      </w:r>
    </w:p>
    <w:p w14:paraId="5DFFE333" w14:textId="617EE1C9" w:rsidR="00C452B3" w:rsidRPr="005340E1" w:rsidRDefault="00C452B3" w:rsidP="00C452B3">
      <w:pPr>
        <w:ind w:firstLine="360"/>
        <w:rPr>
          <w:rFonts w:ascii="Arial" w:hAnsi="Arial" w:cs="Arial"/>
          <w:sz w:val="22"/>
          <w:szCs w:val="22"/>
          <w:lang w:val="fr-CA"/>
        </w:rPr>
      </w:pPr>
      <w:r w:rsidRPr="005340E1">
        <w:rPr>
          <w:rFonts w:ascii="Arial" w:hAnsi="Arial" w:cs="Arial"/>
          <w:sz w:val="22"/>
          <w:szCs w:val="22"/>
          <w:lang w:val="fr-CA"/>
        </w:rPr>
        <w:tab/>
      </w:r>
      <w:r w:rsidR="00C857E2" w:rsidRPr="005340E1">
        <w:rPr>
          <w:rFonts w:ascii="Arial" w:hAnsi="Arial" w:cs="Arial"/>
          <w:sz w:val="22"/>
          <w:szCs w:val="22"/>
          <w:lang w:val="fr-CA"/>
        </w:rPr>
        <w:t>Seuils de passage</w:t>
      </w:r>
      <w:r w:rsidRPr="005340E1">
        <w:rPr>
          <w:rFonts w:ascii="Arial" w:hAnsi="Arial" w:cs="Arial"/>
          <w:sz w:val="22"/>
          <w:szCs w:val="22"/>
          <w:lang w:val="fr-CA"/>
        </w:rPr>
        <w:tab/>
      </w:r>
      <w:r w:rsidR="00175603" w:rsidRPr="005340E1">
        <w:rPr>
          <w:rFonts w:ascii="Arial" w:hAnsi="Arial" w:cs="Arial"/>
          <w:sz w:val="22"/>
          <w:szCs w:val="22"/>
          <w:lang w:val="fr-CA"/>
        </w:rPr>
        <w:tab/>
      </w:r>
      <w:r w:rsidR="00175603"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00C857E2"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00C52B80">
        <w:rPr>
          <w:rFonts w:ascii="Arial" w:hAnsi="Arial" w:cs="Arial"/>
          <w:sz w:val="22"/>
          <w:szCs w:val="22"/>
          <w:lang w:val="fr-CA"/>
        </w:rPr>
        <w:t>9</w:t>
      </w:r>
      <w:bookmarkStart w:id="0" w:name="_GoBack"/>
      <w:bookmarkEnd w:id="0"/>
    </w:p>
    <w:p w14:paraId="3CBC137D" w14:textId="77777777" w:rsidR="00C452B3" w:rsidRPr="005340E1" w:rsidRDefault="00C452B3" w:rsidP="00C452B3">
      <w:pPr>
        <w:ind w:firstLine="360"/>
        <w:rPr>
          <w:rFonts w:ascii="Arial" w:hAnsi="Arial" w:cs="Arial"/>
          <w:sz w:val="22"/>
          <w:szCs w:val="22"/>
          <w:lang w:val="fr-CA"/>
        </w:rPr>
      </w:pPr>
    </w:p>
    <w:p w14:paraId="164474D6" w14:textId="35606106" w:rsidR="00C452B3" w:rsidRPr="005340E1" w:rsidRDefault="00C452B3" w:rsidP="00C452B3">
      <w:pPr>
        <w:rPr>
          <w:rFonts w:ascii="Arial" w:hAnsi="Arial" w:cs="Arial"/>
          <w:sz w:val="22"/>
          <w:szCs w:val="22"/>
          <w:lang w:val="fr-CA"/>
        </w:rPr>
      </w:pPr>
      <w:r w:rsidRPr="005340E1">
        <w:rPr>
          <w:rFonts w:ascii="Arial" w:hAnsi="Arial" w:cs="Arial"/>
          <w:b/>
          <w:sz w:val="22"/>
          <w:szCs w:val="22"/>
          <w:lang w:val="fr-CA"/>
        </w:rPr>
        <w:t>Chap</w:t>
      </w:r>
      <w:r w:rsidR="00221934" w:rsidRPr="005340E1">
        <w:rPr>
          <w:rFonts w:ascii="Arial" w:hAnsi="Arial" w:cs="Arial"/>
          <w:b/>
          <w:sz w:val="22"/>
          <w:szCs w:val="22"/>
          <w:lang w:val="fr-CA"/>
        </w:rPr>
        <w:t>it</w:t>
      </w:r>
      <w:r w:rsidRPr="005340E1">
        <w:rPr>
          <w:rFonts w:ascii="Arial" w:hAnsi="Arial" w:cs="Arial"/>
          <w:b/>
          <w:sz w:val="22"/>
          <w:szCs w:val="22"/>
          <w:lang w:val="fr-CA"/>
        </w:rPr>
        <w:t>r</w:t>
      </w:r>
      <w:r w:rsidR="00221934" w:rsidRPr="005340E1">
        <w:rPr>
          <w:rFonts w:ascii="Arial" w:hAnsi="Arial" w:cs="Arial"/>
          <w:b/>
          <w:sz w:val="22"/>
          <w:szCs w:val="22"/>
          <w:lang w:val="fr-CA"/>
        </w:rPr>
        <w:t>e</w:t>
      </w:r>
      <w:r w:rsidRPr="005340E1">
        <w:rPr>
          <w:rFonts w:ascii="Arial" w:hAnsi="Arial" w:cs="Arial"/>
          <w:b/>
          <w:sz w:val="22"/>
          <w:szCs w:val="22"/>
          <w:lang w:val="fr-CA"/>
        </w:rPr>
        <w:t xml:space="preserve"> 3</w:t>
      </w:r>
      <w:r w:rsidR="00221934" w:rsidRPr="005340E1">
        <w:rPr>
          <w:rFonts w:ascii="Arial" w:hAnsi="Arial" w:cs="Arial"/>
          <w:b/>
          <w:sz w:val="22"/>
          <w:szCs w:val="22"/>
          <w:lang w:val="fr-CA"/>
        </w:rPr>
        <w:t> </w:t>
      </w:r>
      <w:r w:rsidRPr="005340E1">
        <w:rPr>
          <w:rFonts w:ascii="Arial" w:hAnsi="Arial" w:cs="Arial"/>
          <w:b/>
          <w:sz w:val="22"/>
          <w:szCs w:val="22"/>
          <w:lang w:val="fr-CA"/>
        </w:rPr>
        <w:t xml:space="preserve">: Administration </w:t>
      </w:r>
      <w:r w:rsidR="00221934" w:rsidRPr="005340E1">
        <w:rPr>
          <w:rFonts w:ascii="Arial" w:hAnsi="Arial" w:cs="Arial"/>
          <w:b/>
          <w:sz w:val="22"/>
          <w:szCs w:val="22"/>
          <w:lang w:val="fr-CA"/>
        </w:rPr>
        <w:t>et utilisation</w:t>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005F5F50" w:rsidRPr="005340E1">
        <w:rPr>
          <w:rFonts w:ascii="Arial" w:hAnsi="Arial" w:cs="Arial"/>
          <w:sz w:val="22"/>
          <w:szCs w:val="22"/>
          <w:lang w:val="fr-CA"/>
        </w:rPr>
        <w:t>10</w:t>
      </w:r>
    </w:p>
    <w:p w14:paraId="5B42E1B9" w14:textId="4A8CD825" w:rsidR="005F5F50" w:rsidRPr="005340E1" w:rsidRDefault="006801C0" w:rsidP="00C452B3">
      <w:pPr>
        <w:ind w:firstLine="360"/>
        <w:rPr>
          <w:rFonts w:ascii="Arial" w:hAnsi="Arial" w:cs="Arial"/>
          <w:sz w:val="22"/>
          <w:szCs w:val="22"/>
          <w:lang w:val="fr-CA"/>
        </w:rPr>
      </w:pPr>
      <w:r w:rsidRPr="005340E1">
        <w:rPr>
          <w:rFonts w:ascii="Arial" w:hAnsi="Arial" w:cs="Arial"/>
          <w:sz w:val="22"/>
          <w:szCs w:val="22"/>
          <w:lang w:val="fr-CA"/>
        </w:rPr>
        <w:t>Aperçu du chapitre</w:t>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r>
      <w:r w:rsidR="005F5F50" w:rsidRPr="005340E1">
        <w:rPr>
          <w:rFonts w:ascii="Arial" w:hAnsi="Arial" w:cs="Arial"/>
          <w:sz w:val="22"/>
          <w:szCs w:val="22"/>
          <w:lang w:val="fr-CA"/>
        </w:rPr>
        <w:tab/>
        <w:t>10</w:t>
      </w:r>
    </w:p>
    <w:p w14:paraId="2FDA67F3" w14:textId="69EC4DF1" w:rsidR="00C452B3" w:rsidRPr="005340E1" w:rsidRDefault="00221934" w:rsidP="00C452B3">
      <w:pPr>
        <w:ind w:firstLine="360"/>
        <w:rPr>
          <w:rFonts w:ascii="Arial" w:hAnsi="Arial" w:cs="Arial"/>
          <w:sz w:val="22"/>
          <w:szCs w:val="22"/>
          <w:lang w:val="fr-CA"/>
        </w:rPr>
      </w:pPr>
      <w:r w:rsidRPr="005340E1">
        <w:rPr>
          <w:rFonts w:ascii="Arial" w:hAnsi="Arial" w:cs="Arial"/>
          <w:sz w:val="22"/>
          <w:szCs w:val="22"/>
          <w:lang w:val="fr-CA"/>
        </w:rPr>
        <w:t xml:space="preserve">Quand remplir la grille </w:t>
      </w:r>
      <w:r w:rsidR="00F56908" w:rsidRPr="005340E1">
        <w:rPr>
          <w:rFonts w:ascii="Arial" w:hAnsi="Arial" w:cs="Arial"/>
          <w:sz w:val="22"/>
          <w:szCs w:val="22"/>
          <w:lang w:val="fr-CA"/>
        </w:rPr>
        <w:t>ATR</w:t>
      </w:r>
      <w:r w:rsidR="00F56908" w:rsidRPr="005340E1">
        <w:rPr>
          <w:rFonts w:ascii="Arial" w:hAnsi="Arial" w:cs="Arial"/>
          <w:sz w:val="22"/>
          <w:szCs w:val="22"/>
          <w:vertAlign w:val="superscript"/>
          <w:lang w:val="fr-CA"/>
        </w:rPr>
        <w:t>©</w:t>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5F5F50" w:rsidRPr="005340E1">
        <w:rPr>
          <w:rFonts w:ascii="Arial" w:hAnsi="Arial" w:cs="Arial"/>
          <w:sz w:val="22"/>
          <w:szCs w:val="22"/>
          <w:lang w:val="fr-CA"/>
        </w:rPr>
        <w:t>10</w:t>
      </w:r>
    </w:p>
    <w:p w14:paraId="68D2A4C6" w14:textId="5635785D" w:rsidR="00C452B3" w:rsidRPr="005340E1" w:rsidRDefault="00221934" w:rsidP="00C452B3">
      <w:pPr>
        <w:ind w:firstLine="360"/>
        <w:rPr>
          <w:rFonts w:ascii="Arial" w:hAnsi="Arial" w:cs="Arial"/>
          <w:sz w:val="22"/>
          <w:szCs w:val="22"/>
          <w:lang w:val="fr-CA"/>
        </w:rPr>
      </w:pPr>
      <w:r w:rsidRPr="005340E1">
        <w:rPr>
          <w:rFonts w:ascii="Arial" w:hAnsi="Arial" w:cs="Arial"/>
          <w:sz w:val="22"/>
          <w:szCs w:val="22"/>
          <w:lang w:val="fr-CA"/>
        </w:rPr>
        <w:t xml:space="preserve">Comment remplir la grille </w:t>
      </w:r>
      <w:r w:rsidR="00F56908" w:rsidRPr="005340E1">
        <w:rPr>
          <w:rFonts w:ascii="Arial" w:hAnsi="Arial" w:cs="Arial"/>
          <w:sz w:val="22"/>
          <w:szCs w:val="22"/>
          <w:lang w:val="fr-CA"/>
        </w:rPr>
        <w:t>ATR</w:t>
      </w:r>
      <w:r w:rsidR="00F56908" w:rsidRPr="005340E1">
        <w:rPr>
          <w:rFonts w:ascii="Arial" w:hAnsi="Arial" w:cs="Arial"/>
          <w:sz w:val="22"/>
          <w:szCs w:val="22"/>
          <w:vertAlign w:val="superscript"/>
          <w:lang w:val="fr-CA"/>
        </w:rPr>
        <w:t>©</w:t>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C452B3" w:rsidRPr="005340E1">
        <w:rPr>
          <w:rFonts w:ascii="Arial" w:hAnsi="Arial" w:cs="Arial"/>
          <w:sz w:val="22"/>
          <w:szCs w:val="22"/>
          <w:lang w:val="fr-CA"/>
        </w:rPr>
        <w:tab/>
      </w:r>
      <w:r w:rsidR="005F5F50" w:rsidRPr="005340E1">
        <w:rPr>
          <w:rFonts w:ascii="Arial" w:hAnsi="Arial" w:cs="Arial"/>
          <w:sz w:val="22"/>
          <w:szCs w:val="22"/>
          <w:lang w:val="fr-CA"/>
        </w:rPr>
        <w:t>10</w:t>
      </w:r>
    </w:p>
    <w:p w14:paraId="7408356A" w14:textId="2D37FF5C" w:rsidR="00AC46D3" w:rsidRPr="005340E1" w:rsidRDefault="00C452B3" w:rsidP="00C452B3">
      <w:pPr>
        <w:ind w:firstLine="360"/>
        <w:rPr>
          <w:rFonts w:ascii="Arial" w:hAnsi="Arial" w:cs="Arial"/>
          <w:sz w:val="22"/>
          <w:szCs w:val="22"/>
          <w:lang w:val="fr-CA"/>
        </w:rPr>
      </w:pPr>
      <w:r w:rsidRPr="005340E1">
        <w:rPr>
          <w:rFonts w:ascii="Arial" w:hAnsi="Arial" w:cs="Arial"/>
          <w:sz w:val="22"/>
          <w:szCs w:val="22"/>
          <w:lang w:val="fr-CA"/>
        </w:rPr>
        <w:t>U</w:t>
      </w:r>
      <w:r w:rsidR="00221934" w:rsidRPr="005340E1">
        <w:rPr>
          <w:rFonts w:ascii="Arial" w:hAnsi="Arial" w:cs="Arial"/>
          <w:sz w:val="22"/>
          <w:szCs w:val="22"/>
          <w:lang w:val="fr-CA"/>
        </w:rPr>
        <w:t xml:space="preserve">tilisation de la grille </w:t>
      </w:r>
      <w:r w:rsidR="00F56908" w:rsidRPr="005340E1">
        <w:rPr>
          <w:rFonts w:ascii="Arial" w:hAnsi="Arial" w:cs="Arial"/>
          <w:sz w:val="22"/>
          <w:szCs w:val="22"/>
          <w:lang w:val="fr-CA"/>
        </w:rPr>
        <w:t>ATR</w:t>
      </w:r>
      <w:r w:rsidR="00F56908" w:rsidRPr="005340E1">
        <w:rPr>
          <w:rFonts w:ascii="Arial" w:hAnsi="Arial" w:cs="Arial"/>
          <w:sz w:val="22"/>
          <w:szCs w:val="22"/>
          <w:vertAlign w:val="superscript"/>
          <w:lang w:val="fr-CA"/>
        </w:rPr>
        <w:t>©</w:t>
      </w:r>
      <w:r w:rsidR="00221934" w:rsidRPr="005340E1">
        <w:rPr>
          <w:rFonts w:ascii="Arial" w:hAnsi="Arial" w:cs="Arial"/>
          <w:sz w:val="22"/>
          <w:szCs w:val="22"/>
          <w:lang w:val="fr-CA"/>
        </w:rPr>
        <w:tab/>
      </w:r>
      <w:r w:rsidR="00221934" w:rsidRPr="005340E1">
        <w:rPr>
          <w:rFonts w:ascii="Arial" w:hAnsi="Arial" w:cs="Arial"/>
          <w:sz w:val="22"/>
          <w:szCs w:val="22"/>
          <w:lang w:val="fr-CA"/>
        </w:rPr>
        <w:tab/>
      </w:r>
      <w:r w:rsidR="00221934" w:rsidRPr="005340E1">
        <w:rPr>
          <w:rFonts w:ascii="Arial" w:hAnsi="Arial" w:cs="Arial"/>
          <w:sz w:val="22"/>
          <w:szCs w:val="22"/>
          <w:lang w:val="fr-CA"/>
        </w:rPr>
        <w:tab/>
      </w:r>
      <w:r w:rsidR="00221934" w:rsidRPr="005340E1">
        <w:rPr>
          <w:rFonts w:ascii="Arial" w:hAnsi="Arial" w:cs="Arial"/>
          <w:sz w:val="22"/>
          <w:szCs w:val="22"/>
          <w:lang w:val="fr-CA"/>
        </w:rPr>
        <w:tab/>
      </w:r>
      <w:r w:rsidR="00221934" w:rsidRPr="005340E1">
        <w:rPr>
          <w:rFonts w:ascii="Arial" w:hAnsi="Arial" w:cs="Arial"/>
          <w:sz w:val="22"/>
          <w:szCs w:val="22"/>
          <w:lang w:val="fr-CA"/>
        </w:rPr>
        <w:tab/>
      </w:r>
      <w:r w:rsidR="00221934" w:rsidRPr="005340E1">
        <w:rPr>
          <w:rFonts w:ascii="Arial" w:hAnsi="Arial" w:cs="Arial"/>
          <w:sz w:val="22"/>
          <w:szCs w:val="22"/>
          <w:lang w:val="fr-CA"/>
        </w:rPr>
        <w:tab/>
      </w:r>
      <w:r w:rsidRPr="005340E1">
        <w:rPr>
          <w:rFonts w:ascii="Arial" w:hAnsi="Arial" w:cs="Arial"/>
          <w:sz w:val="22"/>
          <w:szCs w:val="22"/>
          <w:lang w:val="fr-CA"/>
        </w:rPr>
        <w:tab/>
      </w:r>
      <w:r w:rsidRPr="005340E1">
        <w:rPr>
          <w:rFonts w:ascii="Arial" w:hAnsi="Arial" w:cs="Arial"/>
          <w:sz w:val="22"/>
          <w:szCs w:val="22"/>
          <w:lang w:val="fr-CA"/>
        </w:rPr>
        <w:tab/>
      </w:r>
      <w:r w:rsidR="005F5F50" w:rsidRPr="005340E1">
        <w:rPr>
          <w:rFonts w:ascii="Arial" w:hAnsi="Arial" w:cs="Arial"/>
          <w:sz w:val="22"/>
          <w:szCs w:val="22"/>
          <w:lang w:val="fr-CA"/>
        </w:rPr>
        <w:t>10</w:t>
      </w:r>
    </w:p>
    <w:p w14:paraId="79F61C84" w14:textId="77777777" w:rsidR="00A10933" w:rsidRPr="005340E1" w:rsidRDefault="00A10933" w:rsidP="00AC46D3">
      <w:pPr>
        <w:rPr>
          <w:rFonts w:ascii="Arial" w:hAnsi="Arial" w:cs="Arial"/>
          <w:b/>
          <w:lang w:val="fr-CA"/>
        </w:rPr>
      </w:pPr>
      <w:r w:rsidRPr="005340E1">
        <w:rPr>
          <w:rFonts w:ascii="Arial" w:hAnsi="Arial" w:cs="Arial"/>
          <w:b/>
          <w:lang w:val="fr-CA"/>
        </w:rPr>
        <w:br w:type="page"/>
      </w:r>
    </w:p>
    <w:p w14:paraId="71B0DB47" w14:textId="2D143466" w:rsidR="00A10933" w:rsidRPr="005340E1" w:rsidRDefault="00C52B80" w:rsidP="00A10933">
      <w:pPr>
        <w:spacing w:after="120"/>
        <w:rPr>
          <w:rFonts w:ascii="Arial" w:hAnsi="Arial" w:cs="Arial"/>
          <w:b/>
          <w:i/>
          <w:sz w:val="32"/>
          <w:szCs w:val="32"/>
          <w:lang w:val="fr-CA"/>
        </w:rPr>
      </w:pPr>
      <w:r>
        <w:rPr>
          <w:rFonts w:ascii="Arial" w:hAnsi="Arial" w:cs="Arial"/>
          <w:b/>
          <w:i/>
          <w:sz w:val="32"/>
          <w:szCs w:val="32"/>
          <w:lang w:val="fr-CA"/>
        </w:rPr>
        <w:lastRenderedPageBreak/>
        <w:pict w14:anchorId="7B9A4EDD">
          <v:shapetype id="_x0000_t32" coordsize="21600,21600" o:spt="32" o:oned="t" path="m0,0l21600,21600e" filled="f">
            <v:path arrowok="t" fillok="f" o:connecttype="none"/>
            <o:lock v:ext="edit" shapetype="t"/>
          </v:shapetype>
          <v:shape id="_x0000_s2810" type="#_x0000_t32" style="position:absolute;margin-left:-3pt;margin-top:18.75pt;width:474pt;height:0;z-index:251660288" o:connectortype="straight" strokeweight="2pt"/>
        </w:pict>
      </w:r>
      <w:r w:rsidR="00A10933" w:rsidRPr="005340E1">
        <w:rPr>
          <w:rFonts w:ascii="Arial" w:hAnsi="Arial" w:cs="Arial"/>
          <w:b/>
          <w:i/>
          <w:sz w:val="32"/>
          <w:szCs w:val="32"/>
          <w:lang w:val="fr-CA"/>
        </w:rPr>
        <w:t>CHAP</w:t>
      </w:r>
      <w:r w:rsidR="00EE3B34" w:rsidRPr="005340E1">
        <w:rPr>
          <w:rFonts w:ascii="Arial" w:hAnsi="Arial" w:cs="Arial"/>
          <w:b/>
          <w:i/>
          <w:sz w:val="32"/>
          <w:szCs w:val="32"/>
          <w:lang w:val="fr-CA"/>
        </w:rPr>
        <w:t>IT</w:t>
      </w:r>
      <w:r w:rsidR="00A10933" w:rsidRPr="005340E1">
        <w:rPr>
          <w:rFonts w:ascii="Arial" w:hAnsi="Arial" w:cs="Arial"/>
          <w:b/>
          <w:i/>
          <w:sz w:val="32"/>
          <w:szCs w:val="32"/>
          <w:lang w:val="fr-CA"/>
        </w:rPr>
        <w:t>R</w:t>
      </w:r>
      <w:r w:rsidR="00EE3B34" w:rsidRPr="005340E1">
        <w:rPr>
          <w:rFonts w:ascii="Arial" w:hAnsi="Arial" w:cs="Arial"/>
          <w:b/>
          <w:i/>
          <w:sz w:val="32"/>
          <w:szCs w:val="32"/>
          <w:lang w:val="fr-CA"/>
        </w:rPr>
        <w:t>E</w:t>
      </w:r>
      <w:r w:rsidR="00A10933" w:rsidRPr="005340E1">
        <w:rPr>
          <w:rFonts w:ascii="Arial" w:hAnsi="Arial" w:cs="Arial"/>
          <w:b/>
          <w:i/>
          <w:sz w:val="32"/>
          <w:szCs w:val="32"/>
          <w:lang w:val="fr-CA"/>
        </w:rPr>
        <w:t xml:space="preserve"> 1</w:t>
      </w:r>
      <w:r w:rsidR="00EE3B34" w:rsidRPr="005340E1">
        <w:rPr>
          <w:rFonts w:ascii="Arial" w:hAnsi="Arial" w:cs="Arial"/>
          <w:b/>
          <w:i/>
          <w:sz w:val="32"/>
          <w:szCs w:val="32"/>
          <w:lang w:val="fr-CA"/>
        </w:rPr>
        <w:t> </w:t>
      </w:r>
      <w:r w:rsidR="00A10933" w:rsidRPr="005340E1">
        <w:rPr>
          <w:rFonts w:ascii="Arial" w:hAnsi="Arial" w:cs="Arial"/>
          <w:b/>
          <w:i/>
          <w:sz w:val="32"/>
          <w:szCs w:val="32"/>
          <w:lang w:val="fr-CA"/>
        </w:rPr>
        <w:t>: INTRODUCTION</w:t>
      </w:r>
    </w:p>
    <w:p w14:paraId="28D91F37" w14:textId="3EF07FC6" w:rsidR="00A10933" w:rsidRPr="005340E1" w:rsidRDefault="00EE3B34" w:rsidP="00A10933">
      <w:pPr>
        <w:spacing w:after="120"/>
        <w:rPr>
          <w:rFonts w:ascii="Arial" w:hAnsi="Arial" w:cs="Arial"/>
          <w:b/>
          <w:i/>
          <w:sz w:val="22"/>
          <w:szCs w:val="22"/>
          <w:lang w:val="fr-CA"/>
        </w:rPr>
      </w:pPr>
      <w:r w:rsidRPr="005340E1">
        <w:rPr>
          <w:rFonts w:ascii="Arial" w:hAnsi="Arial" w:cs="Arial"/>
          <w:b/>
          <w:i/>
          <w:sz w:val="22"/>
          <w:szCs w:val="22"/>
          <w:lang w:val="fr-CA"/>
        </w:rPr>
        <w:t>Aperçu du chapitre</w:t>
      </w:r>
    </w:p>
    <w:p w14:paraId="2C8F5487" w14:textId="7C3F583E" w:rsidR="00A10933" w:rsidRPr="005340E1" w:rsidRDefault="00547E8B" w:rsidP="00A10933">
      <w:pPr>
        <w:spacing w:after="120"/>
        <w:ind w:firstLine="360"/>
        <w:rPr>
          <w:rFonts w:ascii="Arial" w:hAnsi="Arial" w:cs="Arial"/>
          <w:sz w:val="22"/>
          <w:szCs w:val="22"/>
          <w:highlight w:val="yellow"/>
          <w:lang w:val="fr-CA"/>
        </w:rPr>
      </w:pPr>
      <w:r w:rsidRPr="005340E1">
        <w:rPr>
          <w:rFonts w:ascii="Arial" w:hAnsi="Arial" w:cs="Arial"/>
          <w:sz w:val="22"/>
          <w:szCs w:val="22"/>
          <w:lang w:val="fr-CA"/>
        </w:rPr>
        <w:t>Ceci est le manuel de l’</w:t>
      </w:r>
      <w:r w:rsidR="00A50667" w:rsidRPr="005340E1">
        <w:rPr>
          <w:rFonts w:ascii="Arial" w:hAnsi="Arial" w:cs="Arial"/>
          <w:sz w:val="22"/>
          <w:szCs w:val="22"/>
          <w:lang w:val="fr-CA"/>
        </w:rPr>
        <w:t xml:space="preserve">utilisateur </w:t>
      </w:r>
      <w:r w:rsidR="004D52DA">
        <w:rPr>
          <w:rFonts w:ascii="Arial" w:hAnsi="Arial" w:cs="Arial"/>
          <w:sz w:val="22"/>
          <w:szCs w:val="22"/>
          <w:lang w:val="fr-CA"/>
        </w:rPr>
        <w:t>pour</w:t>
      </w:r>
      <w:r w:rsidR="00F33890" w:rsidRPr="005340E1">
        <w:rPr>
          <w:rFonts w:ascii="Arial" w:hAnsi="Arial" w:cs="Arial"/>
          <w:sz w:val="22"/>
          <w:szCs w:val="22"/>
          <w:lang w:val="fr-CA"/>
        </w:rPr>
        <w:t xml:space="preserve"> la Grille d’évaluation de la préparation à la transition des services communautaires de traitement intensif (</w:t>
      </w:r>
      <w:r w:rsidR="00F33890" w:rsidRPr="005340E1">
        <w:rPr>
          <w:rFonts w:ascii="Arial" w:hAnsi="Arial" w:cs="Arial"/>
          <w:i/>
          <w:sz w:val="22"/>
          <w:szCs w:val="22"/>
          <w:lang w:val="fr-CA"/>
        </w:rPr>
        <w:t>Assertive Community Treatment Transition Readiness Scale</w:t>
      </w:r>
      <w:r w:rsidR="00F33890" w:rsidRPr="005340E1">
        <w:rPr>
          <w:rFonts w:ascii="Arial" w:hAnsi="Arial" w:cs="Arial"/>
          <w:sz w:val="22"/>
          <w:szCs w:val="22"/>
          <w:vertAlign w:val="superscript"/>
          <w:lang w:val="fr-CA"/>
        </w:rPr>
        <w:t>©</w:t>
      </w:r>
      <w:r w:rsidR="00D477D0" w:rsidRPr="005340E1">
        <w:rPr>
          <w:rFonts w:ascii="Arial" w:hAnsi="Arial" w:cs="Arial"/>
          <w:sz w:val="22"/>
          <w:szCs w:val="22"/>
          <w:lang w:val="fr-CA"/>
        </w:rPr>
        <w:t>),</w:t>
      </w:r>
      <w:r w:rsidR="00F33890" w:rsidRPr="005340E1">
        <w:rPr>
          <w:rFonts w:ascii="Arial" w:hAnsi="Arial" w:cs="Arial"/>
          <w:sz w:val="22"/>
          <w:szCs w:val="22"/>
          <w:lang w:val="fr-CA"/>
        </w:rPr>
        <w:t xml:space="preserve"> ou grille d’évaluation ATR</w:t>
      </w:r>
      <w:r w:rsidR="00F33890" w:rsidRPr="005340E1">
        <w:rPr>
          <w:rFonts w:ascii="Arial" w:hAnsi="Arial" w:cs="Arial"/>
          <w:sz w:val="22"/>
          <w:szCs w:val="22"/>
          <w:vertAlign w:val="superscript"/>
          <w:lang w:val="fr-CA"/>
        </w:rPr>
        <w:t>©</w:t>
      </w:r>
      <w:r w:rsidR="00F33890" w:rsidRPr="005340E1">
        <w:rPr>
          <w:rFonts w:ascii="Arial" w:hAnsi="Arial" w:cs="Arial"/>
          <w:sz w:val="22"/>
          <w:szCs w:val="22"/>
          <w:lang w:val="fr-CA"/>
        </w:rPr>
        <w:t xml:space="preserve">. </w:t>
      </w:r>
      <w:r w:rsidR="00A10933" w:rsidRPr="005340E1">
        <w:rPr>
          <w:rFonts w:ascii="Arial" w:hAnsi="Arial" w:cs="Arial"/>
          <w:b/>
          <w:sz w:val="22"/>
          <w:szCs w:val="22"/>
          <w:lang w:val="fr-CA"/>
        </w:rPr>
        <w:t>I</w:t>
      </w:r>
      <w:r w:rsidR="004D0DFF" w:rsidRPr="005340E1">
        <w:rPr>
          <w:rFonts w:ascii="Arial" w:hAnsi="Arial" w:cs="Arial"/>
          <w:b/>
          <w:sz w:val="22"/>
          <w:szCs w:val="22"/>
          <w:lang w:val="fr-CA"/>
        </w:rPr>
        <w:t>l est fortement recommandé de lire ce manuel</w:t>
      </w:r>
      <w:r w:rsidR="007A7853" w:rsidRPr="005340E1">
        <w:rPr>
          <w:rFonts w:ascii="Arial" w:hAnsi="Arial" w:cs="Arial"/>
          <w:b/>
          <w:sz w:val="22"/>
          <w:szCs w:val="22"/>
          <w:lang w:val="fr-CA"/>
        </w:rPr>
        <w:t xml:space="preserve"> </w:t>
      </w:r>
      <w:r w:rsidR="004D0DFF" w:rsidRPr="005340E1">
        <w:rPr>
          <w:rFonts w:ascii="Arial" w:hAnsi="Arial" w:cs="Arial"/>
          <w:b/>
          <w:sz w:val="22"/>
          <w:szCs w:val="22"/>
          <w:lang w:val="fr-CA"/>
        </w:rPr>
        <w:t xml:space="preserve">attentivement et </w:t>
      </w:r>
      <w:r w:rsidR="00EE0A53" w:rsidRPr="005340E1">
        <w:rPr>
          <w:rFonts w:ascii="Arial" w:hAnsi="Arial" w:cs="Arial"/>
          <w:b/>
          <w:sz w:val="22"/>
          <w:szCs w:val="22"/>
          <w:lang w:val="fr-CA"/>
        </w:rPr>
        <w:t xml:space="preserve">intégralement </w:t>
      </w:r>
      <w:r w:rsidR="004D0DFF" w:rsidRPr="005340E1">
        <w:rPr>
          <w:rFonts w:ascii="Arial" w:hAnsi="Arial" w:cs="Arial"/>
          <w:b/>
          <w:sz w:val="22"/>
          <w:szCs w:val="22"/>
          <w:lang w:val="fr-CA"/>
        </w:rPr>
        <w:t>avant d’utiliser</w:t>
      </w:r>
      <w:r w:rsidR="00317136" w:rsidRPr="005340E1">
        <w:rPr>
          <w:rFonts w:ascii="Arial" w:hAnsi="Arial" w:cs="Arial"/>
          <w:b/>
          <w:sz w:val="22"/>
          <w:szCs w:val="22"/>
          <w:lang w:val="fr-CA"/>
        </w:rPr>
        <w:t xml:space="preserve"> la grille d’évaluation</w:t>
      </w:r>
      <w:r w:rsidR="004D0DFF" w:rsidRPr="005340E1">
        <w:rPr>
          <w:rFonts w:ascii="Arial" w:hAnsi="Arial" w:cs="Arial"/>
          <w:b/>
          <w:sz w:val="22"/>
          <w:szCs w:val="22"/>
          <w:lang w:val="fr-CA"/>
        </w:rPr>
        <w:t xml:space="preserve"> </w:t>
      </w:r>
      <w:r w:rsidR="00F56908" w:rsidRPr="005340E1">
        <w:rPr>
          <w:rFonts w:ascii="Arial" w:hAnsi="Arial" w:cs="Arial"/>
          <w:b/>
          <w:sz w:val="22"/>
          <w:szCs w:val="22"/>
          <w:lang w:val="fr-CA"/>
        </w:rPr>
        <w:t>ATR</w:t>
      </w:r>
      <w:r w:rsidR="00F56908" w:rsidRPr="005340E1">
        <w:rPr>
          <w:rFonts w:ascii="Arial" w:hAnsi="Arial" w:cs="Arial"/>
          <w:b/>
          <w:sz w:val="22"/>
          <w:szCs w:val="22"/>
          <w:vertAlign w:val="superscript"/>
          <w:lang w:val="fr-CA"/>
        </w:rPr>
        <w:t>©</w:t>
      </w:r>
      <w:r w:rsidR="00A10933" w:rsidRPr="005340E1">
        <w:rPr>
          <w:rFonts w:ascii="Arial" w:hAnsi="Arial" w:cs="Arial"/>
          <w:b/>
          <w:sz w:val="22"/>
          <w:szCs w:val="22"/>
          <w:lang w:val="fr-CA"/>
        </w:rPr>
        <w:t>.</w:t>
      </w:r>
      <w:r w:rsidR="001D5443" w:rsidRPr="005340E1">
        <w:rPr>
          <w:rFonts w:ascii="Arial" w:hAnsi="Arial" w:cs="Arial"/>
          <w:sz w:val="22"/>
          <w:szCs w:val="22"/>
          <w:lang w:val="fr-CA"/>
        </w:rPr>
        <w:t xml:space="preserve"> La grille ATR</w:t>
      </w:r>
      <w:r w:rsidR="001D5443" w:rsidRPr="005340E1">
        <w:rPr>
          <w:rFonts w:ascii="Arial" w:hAnsi="Arial" w:cs="Arial"/>
          <w:sz w:val="22"/>
          <w:szCs w:val="22"/>
          <w:vertAlign w:val="superscript"/>
          <w:lang w:val="fr-CA"/>
        </w:rPr>
        <w:t>©</w:t>
      </w:r>
      <w:r w:rsidR="00317136" w:rsidRPr="005340E1">
        <w:rPr>
          <w:rFonts w:ascii="Arial" w:hAnsi="Arial" w:cs="Arial"/>
          <w:sz w:val="22"/>
          <w:szCs w:val="22"/>
          <w:lang w:val="fr-CA"/>
        </w:rPr>
        <w:t xml:space="preserve"> est un outil de mesure </w:t>
      </w:r>
      <w:r w:rsidR="00026DF0" w:rsidRPr="005340E1">
        <w:rPr>
          <w:rFonts w:ascii="Arial" w:hAnsi="Arial" w:cs="Arial"/>
          <w:sz w:val="22"/>
          <w:szCs w:val="22"/>
          <w:lang w:val="fr-CA"/>
        </w:rPr>
        <w:t>papier-crayon</w:t>
      </w:r>
      <w:r w:rsidR="004D59D9" w:rsidRPr="005340E1">
        <w:rPr>
          <w:rFonts w:ascii="Arial" w:hAnsi="Arial" w:cs="Arial"/>
          <w:sz w:val="22"/>
          <w:szCs w:val="22"/>
          <w:lang w:val="fr-CA"/>
        </w:rPr>
        <w:t xml:space="preserve"> composé de 18 énoncés </w:t>
      </w:r>
      <w:r w:rsidR="00206B97" w:rsidRPr="005340E1">
        <w:rPr>
          <w:rFonts w:ascii="Arial" w:hAnsi="Arial" w:cs="Arial"/>
          <w:sz w:val="22"/>
          <w:szCs w:val="22"/>
          <w:lang w:val="fr-CA"/>
        </w:rPr>
        <w:t>qui a été élaboré pour aider les équipes</w:t>
      </w:r>
      <w:r w:rsidR="00EB2B12" w:rsidRPr="005340E1">
        <w:rPr>
          <w:rFonts w:ascii="Arial" w:hAnsi="Arial" w:cs="Arial"/>
          <w:sz w:val="22"/>
          <w:szCs w:val="22"/>
          <w:lang w:val="fr-CA"/>
        </w:rPr>
        <w:t xml:space="preserve"> communautaires de traitement intensif (ECTI)</w:t>
      </w:r>
      <w:r w:rsidR="00EB2B12" w:rsidRPr="005340E1">
        <w:rPr>
          <w:color w:val="000000"/>
          <w:lang w:val="fr-CA"/>
        </w:rPr>
        <w:t xml:space="preserve"> </w:t>
      </w:r>
      <w:r w:rsidR="008D6396" w:rsidRPr="005340E1">
        <w:rPr>
          <w:rFonts w:ascii="Arial" w:hAnsi="Arial" w:cs="Arial"/>
          <w:sz w:val="22"/>
          <w:szCs w:val="22"/>
          <w:lang w:val="fr-CA"/>
        </w:rPr>
        <w:t xml:space="preserve">à identifier les clients </w:t>
      </w:r>
      <w:r w:rsidR="00A45F05" w:rsidRPr="005340E1">
        <w:rPr>
          <w:rFonts w:ascii="Arial" w:hAnsi="Arial" w:cs="Arial"/>
          <w:sz w:val="22"/>
          <w:szCs w:val="22"/>
          <w:lang w:val="fr-CA"/>
        </w:rPr>
        <w:t xml:space="preserve">des </w:t>
      </w:r>
      <w:r w:rsidR="003F2299" w:rsidRPr="005340E1">
        <w:rPr>
          <w:rFonts w:ascii="Arial" w:hAnsi="Arial" w:cs="Arial"/>
          <w:sz w:val="22"/>
          <w:szCs w:val="22"/>
          <w:lang w:val="fr-CA"/>
        </w:rPr>
        <w:t>services communautaires de traitement intensif</w:t>
      </w:r>
      <w:r w:rsidR="00A45F05" w:rsidRPr="005340E1">
        <w:rPr>
          <w:rFonts w:ascii="Arial" w:hAnsi="Arial" w:cs="Arial"/>
          <w:sz w:val="22"/>
          <w:szCs w:val="22"/>
          <w:lang w:val="fr-CA"/>
        </w:rPr>
        <w:t xml:space="preserve"> </w:t>
      </w:r>
      <w:r w:rsidR="003F2299" w:rsidRPr="005340E1">
        <w:rPr>
          <w:rFonts w:ascii="Arial" w:hAnsi="Arial" w:cs="Arial"/>
          <w:sz w:val="22"/>
          <w:szCs w:val="22"/>
          <w:lang w:val="fr-CA"/>
        </w:rPr>
        <w:t>(</w:t>
      </w:r>
      <w:r w:rsidR="007332AC" w:rsidRPr="005340E1">
        <w:rPr>
          <w:rFonts w:ascii="Arial" w:hAnsi="Arial" w:cs="Arial"/>
          <w:sz w:val="22"/>
          <w:szCs w:val="22"/>
          <w:lang w:val="fr-CA"/>
        </w:rPr>
        <w:t>S</w:t>
      </w:r>
      <w:r w:rsidR="003F2299" w:rsidRPr="005340E1">
        <w:rPr>
          <w:rFonts w:ascii="Arial" w:hAnsi="Arial" w:cs="Arial"/>
          <w:sz w:val="22"/>
          <w:szCs w:val="22"/>
          <w:lang w:val="fr-CA"/>
        </w:rPr>
        <w:t xml:space="preserve">CTI) </w:t>
      </w:r>
      <w:r w:rsidR="008D6396" w:rsidRPr="005340E1">
        <w:rPr>
          <w:rFonts w:ascii="Arial" w:hAnsi="Arial" w:cs="Arial"/>
          <w:sz w:val="22"/>
          <w:szCs w:val="22"/>
          <w:lang w:val="fr-CA"/>
        </w:rPr>
        <w:t xml:space="preserve">qui pourraient être prêts à faire la </w:t>
      </w:r>
      <w:r w:rsidR="008D6396" w:rsidRPr="008B1669">
        <w:rPr>
          <w:rFonts w:ascii="Arial" w:hAnsi="Arial" w:cs="Arial"/>
          <w:sz w:val="22"/>
          <w:szCs w:val="22"/>
          <w:lang w:val="fr-CA"/>
        </w:rPr>
        <w:t xml:space="preserve">transition </w:t>
      </w:r>
      <w:r w:rsidR="00025770" w:rsidRPr="008B1669">
        <w:rPr>
          <w:rFonts w:ascii="Arial" w:hAnsi="Arial" w:cs="Arial"/>
          <w:sz w:val="22"/>
          <w:szCs w:val="22"/>
          <w:lang w:val="fr-CA"/>
        </w:rPr>
        <w:t xml:space="preserve">des </w:t>
      </w:r>
      <w:r w:rsidR="00B771BB" w:rsidRPr="008B1669">
        <w:rPr>
          <w:rFonts w:ascii="Arial" w:hAnsi="Arial" w:cs="Arial"/>
          <w:sz w:val="22"/>
          <w:szCs w:val="22"/>
          <w:lang w:val="fr-CA"/>
        </w:rPr>
        <w:t xml:space="preserve">SCTI </w:t>
      </w:r>
      <w:r w:rsidR="00025770" w:rsidRPr="008B1669">
        <w:rPr>
          <w:rFonts w:ascii="Arial" w:hAnsi="Arial" w:cs="Arial"/>
          <w:sz w:val="22"/>
          <w:szCs w:val="22"/>
          <w:lang w:val="fr-CA"/>
        </w:rPr>
        <w:t>vers des services moins intensifs</w:t>
      </w:r>
      <w:r w:rsidR="00A10933" w:rsidRPr="008B1669">
        <w:rPr>
          <w:rFonts w:ascii="Arial" w:hAnsi="Arial" w:cs="Arial"/>
          <w:sz w:val="22"/>
          <w:szCs w:val="22"/>
          <w:lang w:val="fr-CA"/>
        </w:rPr>
        <w:t xml:space="preserve">. </w:t>
      </w:r>
      <w:r w:rsidR="007C4B3E" w:rsidRPr="008B1669">
        <w:rPr>
          <w:rFonts w:ascii="Arial" w:hAnsi="Arial" w:cs="Arial"/>
          <w:sz w:val="22"/>
          <w:szCs w:val="22"/>
          <w:lang w:val="fr-CA"/>
        </w:rPr>
        <w:t xml:space="preserve">Dans ce chapitre, nous </w:t>
      </w:r>
      <w:r w:rsidR="007A7853" w:rsidRPr="008B1669">
        <w:rPr>
          <w:rFonts w:ascii="Arial" w:hAnsi="Arial" w:cs="Arial"/>
          <w:sz w:val="22"/>
          <w:szCs w:val="22"/>
          <w:lang w:val="fr-CA"/>
        </w:rPr>
        <w:t xml:space="preserve">fournirons un bref aperçu des </w:t>
      </w:r>
      <w:r w:rsidR="00221934" w:rsidRPr="008B1669">
        <w:rPr>
          <w:rFonts w:ascii="Arial" w:hAnsi="Arial" w:cs="Arial"/>
          <w:sz w:val="22"/>
          <w:szCs w:val="22"/>
          <w:lang w:val="fr-CA"/>
        </w:rPr>
        <w:t>recherches publiées</w:t>
      </w:r>
      <w:r w:rsidR="007A7853" w:rsidRPr="008B1669">
        <w:rPr>
          <w:rFonts w:ascii="Arial" w:hAnsi="Arial" w:cs="Arial"/>
          <w:sz w:val="22"/>
          <w:szCs w:val="22"/>
          <w:lang w:val="fr-CA"/>
        </w:rPr>
        <w:t xml:space="preserve"> </w:t>
      </w:r>
      <w:r w:rsidR="00221934" w:rsidRPr="008B1669">
        <w:rPr>
          <w:rFonts w:ascii="Arial" w:hAnsi="Arial" w:cs="Arial"/>
          <w:sz w:val="22"/>
          <w:szCs w:val="22"/>
          <w:lang w:val="fr-CA"/>
        </w:rPr>
        <w:t>sur les</w:t>
      </w:r>
      <w:r w:rsidR="007A7853" w:rsidRPr="008B1669">
        <w:rPr>
          <w:rFonts w:ascii="Arial" w:hAnsi="Arial" w:cs="Arial"/>
          <w:sz w:val="22"/>
          <w:szCs w:val="22"/>
          <w:lang w:val="fr-CA"/>
        </w:rPr>
        <w:t xml:space="preserve"> transitions</w:t>
      </w:r>
      <w:r w:rsidR="00A10933" w:rsidRPr="008B1669">
        <w:rPr>
          <w:rFonts w:ascii="Arial" w:hAnsi="Arial" w:cs="Arial"/>
          <w:sz w:val="22"/>
          <w:szCs w:val="22"/>
          <w:lang w:val="fr-CA"/>
        </w:rPr>
        <w:t xml:space="preserve"> </w:t>
      </w:r>
      <w:r w:rsidR="00025770" w:rsidRPr="008B1669">
        <w:rPr>
          <w:rFonts w:ascii="Arial" w:hAnsi="Arial" w:cs="Arial"/>
          <w:sz w:val="22"/>
          <w:szCs w:val="22"/>
          <w:lang w:val="fr-CA"/>
        </w:rPr>
        <w:t xml:space="preserve">des </w:t>
      </w:r>
      <w:r w:rsidR="00F92CFF" w:rsidRPr="008B1669">
        <w:rPr>
          <w:rFonts w:ascii="Arial" w:hAnsi="Arial" w:cs="Arial"/>
          <w:sz w:val="22"/>
          <w:szCs w:val="22"/>
          <w:lang w:val="fr-CA"/>
        </w:rPr>
        <w:t>SCTI</w:t>
      </w:r>
      <w:r w:rsidR="00A10933" w:rsidRPr="008B1669">
        <w:rPr>
          <w:rFonts w:ascii="Arial" w:hAnsi="Arial" w:cs="Arial"/>
          <w:sz w:val="22"/>
          <w:szCs w:val="22"/>
          <w:lang w:val="fr-CA"/>
        </w:rPr>
        <w:t xml:space="preserve">. </w:t>
      </w:r>
      <w:r w:rsidR="007C4B3E" w:rsidRPr="008B1669">
        <w:rPr>
          <w:rFonts w:ascii="Arial" w:hAnsi="Arial" w:cs="Arial"/>
          <w:sz w:val="22"/>
          <w:szCs w:val="22"/>
          <w:lang w:val="fr-CA"/>
        </w:rPr>
        <w:t xml:space="preserve">Nous discuterons ensuite de l’importance et de la nécessité de </w:t>
      </w:r>
      <w:r w:rsidR="00F92CFF" w:rsidRPr="008B1669">
        <w:rPr>
          <w:rFonts w:ascii="Arial" w:hAnsi="Arial" w:cs="Arial"/>
          <w:sz w:val="22"/>
          <w:szCs w:val="22"/>
          <w:lang w:val="fr-CA"/>
        </w:rPr>
        <w:t xml:space="preserve">mettre en place des </w:t>
      </w:r>
      <w:r w:rsidR="007C4B3E" w:rsidRPr="008B1669">
        <w:rPr>
          <w:rFonts w:ascii="Arial" w:hAnsi="Arial" w:cs="Arial"/>
          <w:sz w:val="22"/>
          <w:szCs w:val="22"/>
          <w:lang w:val="fr-CA"/>
        </w:rPr>
        <w:t>mesures normalisées</w:t>
      </w:r>
      <w:r w:rsidR="00A10933" w:rsidRPr="008B1669">
        <w:rPr>
          <w:rFonts w:ascii="Arial" w:hAnsi="Arial" w:cs="Arial"/>
          <w:sz w:val="22"/>
          <w:szCs w:val="22"/>
          <w:lang w:val="fr-CA"/>
        </w:rPr>
        <w:t xml:space="preserve"> </w:t>
      </w:r>
      <w:r w:rsidR="007C4B3E" w:rsidRPr="008B1669">
        <w:rPr>
          <w:rFonts w:ascii="Arial" w:hAnsi="Arial" w:cs="Arial"/>
          <w:sz w:val="22"/>
          <w:szCs w:val="22"/>
          <w:lang w:val="fr-CA"/>
        </w:rPr>
        <w:t xml:space="preserve">pour aider les </w:t>
      </w:r>
      <w:r w:rsidR="007A7853" w:rsidRPr="008B1669">
        <w:rPr>
          <w:rFonts w:ascii="Arial" w:hAnsi="Arial" w:cs="Arial"/>
          <w:sz w:val="22"/>
          <w:szCs w:val="22"/>
          <w:lang w:val="fr-CA"/>
        </w:rPr>
        <w:t>ECTI à identifier</w:t>
      </w:r>
      <w:r w:rsidR="007A7853" w:rsidRPr="005340E1">
        <w:rPr>
          <w:rFonts w:ascii="Arial" w:hAnsi="Arial" w:cs="Arial"/>
          <w:sz w:val="22"/>
          <w:szCs w:val="22"/>
          <w:lang w:val="fr-CA"/>
        </w:rPr>
        <w:t xml:space="preserve"> les clients qui pourraient être prêts à faire la transition vers des services moins intensifs. </w:t>
      </w:r>
      <w:r w:rsidR="004D0DFF" w:rsidRPr="005340E1">
        <w:rPr>
          <w:rFonts w:ascii="Arial" w:hAnsi="Arial" w:cs="Arial"/>
          <w:sz w:val="22"/>
          <w:szCs w:val="22"/>
          <w:lang w:val="fr-CA"/>
        </w:rPr>
        <w:t>Puis</w:t>
      </w:r>
      <w:r w:rsidR="00F92CFF">
        <w:rPr>
          <w:rFonts w:ascii="Arial" w:hAnsi="Arial" w:cs="Arial"/>
          <w:sz w:val="22"/>
          <w:szCs w:val="22"/>
          <w:lang w:val="fr-CA"/>
        </w:rPr>
        <w:t>,</w:t>
      </w:r>
      <w:r w:rsidR="004D0DFF" w:rsidRPr="005340E1">
        <w:rPr>
          <w:rFonts w:ascii="Arial" w:hAnsi="Arial" w:cs="Arial"/>
          <w:sz w:val="22"/>
          <w:szCs w:val="22"/>
          <w:lang w:val="fr-CA"/>
        </w:rPr>
        <w:t xml:space="preserve"> nous décrirons brièvement l’élaboration de </w:t>
      </w:r>
      <w:r w:rsidR="00740CE1" w:rsidRPr="005340E1">
        <w:rPr>
          <w:rFonts w:ascii="Arial" w:hAnsi="Arial" w:cs="Arial"/>
          <w:sz w:val="22"/>
          <w:szCs w:val="22"/>
          <w:lang w:val="fr-CA"/>
        </w:rPr>
        <w:t>la grille ATR</w:t>
      </w:r>
      <w:r w:rsidR="00740CE1" w:rsidRPr="005340E1">
        <w:rPr>
          <w:rFonts w:ascii="Arial" w:hAnsi="Arial" w:cs="Arial"/>
          <w:sz w:val="22"/>
          <w:szCs w:val="22"/>
          <w:vertAlign w:val="superscript"/>
          <w:lang w:val="fr-CA"/>
        </w:rPr>
        <w:t>©</w:t>
      </w:r>
      <w:r w:rsidR="00C452B3" w:rsidRPr="005340E1">
        <w:rPr>
          <w:rFonts w:ascii="Arial" w:hAnsi="Arial" w:cs="Arial"/>
          <w:sz w:val="22"/>
          <w:szCs w:val="22"/>
          <w:lang w:val="fr-CA"/>
        </w:rPr>
        <w:t xml:space="preserve">. </w:t>
      </w:r>
      <w:r w:rsidR="00581DED" w:rsidRPr="005340E1">
        <w:rPr>
          <w:rFonts w:ascii="Arial" w:hAnsi="Arial" w:cs="Arial"/>
          <w:sz w:val="22"/>
          <w:szCs w:val="22"/>
          <w:lang w:val="fr-CA"/>
        </w:rPr>
        <w:t xml:space="preserve">Ensuite, nous aborderons certains des avantages d’utiliser </w:t>
      </w:r>
      <w:r w:rsidR="0028735C" w:rsidRPr="005340E1">
        <w:rPr>
          <w:rFonts w:ascii="Arial" w:hAnsi="Arial" w:cs="Arial"/>
          <w:sz w:val="22"/>
          <w:szCs w:val="22"/>
          <w:lang w:val="fr-CA"/>
        </w:rPr>
        <w:t>la grille ATR</w:t>
      </w:r>
      <w:r w:rsidR="0028735C" w:rsidRPr="005340E1">
        <w:rPr>
          <w:rFonts w:ascii="Arial" w:hAnsi="Arial" w:cs="Arial"/>
          <w:sz w:val="22"/>
          <w:szCs w:val="22"/>
          <w:vertAlign w:val="superscript"/>
          <w:lang w:val="fr-CA"/>
        </w:rPr>
        <w:t>©</w:t>
      </w:r>
      <w:r w:rsidR="007A7853" w:rsidRPr="005340E1">
        <w:rPr>
          <w:rFonts w:ascii="Arial" w:hAnsi="Arial" w:cs="Arial"/>
          <w:sz w:val="22"/>
          <w:szCs w:val="22"/>
          <w:lang w:val="fr-CA"/>
        </w:rPr>
        <w:t xml:space="preserve">. Le chapitre 1 se conclura par </w:t>
      </w:r>
      <w:r w:rsidR="000A22F4" w:rsidRPr="005340E1">
        <w:rPr>
          <w:rFonts w:ascii="Arial" w:hAnsi="Arial" w:cs="Arial"/>
          <w:sz w:val="22"/>
          <w:szCs w:val="22"/>
          <w:lang w:val="fr-CA"/>
        </w:rPr>
        <w:t xml:space="preserve">des consignes sur comment ne pas utiliser </w:t>
      </w:r>
      <w:r w:rsidR="0028735C" w:rsidRPr="005340E1">
        <w:rPr>
          <w:rFonts w:ascii="Arial" w:hAnsi="Arial" w:cs="Arial"/>
          <w:sz w:val="22"/>
          <w:szCs w:val="22"/>
          <w:lang w:val="fr-CA"/>
        </w:rPr>
        <w:t>la grille ATR</w:t>
      </w:r>
      <w:r w:rsidR="0028735C" w:rsidRPr="005340E1">
        <w:rPr>
          <w:rFonts w:ascii="Arial" w:hAnsi="Arial" w:cs="Arial"/>
          <w:sz w:val="22"/>
          <w:szCs w:val="22"/>
          <w:vertAlign w:val="superscript"/>
          <w:lang w:val="fr-CA"/>
        </w:rPr>
        <w:t>©</w:t>
      </w:r>
      <w:r w:rsidR="007A7853" w:rsidRPr="005340E1">
        <w:rPr>
          <w:rFonts w:ascii="Arial" w:hAnsi="Arial" w:cs="Arial"/>
          <w:sz w:val="22"/>
          <w:szCs w:val="22"/>
          <w:lang w:val="fr-CA"/>
        </w:rPr>
        <w:t xml:space="preserve">. </w:t>
      </w:r>
      <w:r w:rsidR="00F92CFF">
        <w:rPr>
          <w:rFonts w:ascii="Arial" w:hAnsi="Arial" w:cs="Arial"/>
          <w:sz w:val="22"/>
          <w:szCs w:val="22"/>
          <w:lang w:val="fr-CA"/>
        </w:rPr>
        <w:t>Mais nous allons d’abord commencer</w:t>
      </w:r>
      <w:r w:rsidR="00250E01" w:rsidRPr="005340E1">
        <w:rPr>
          <w:rFonts w:ascii="Arial" w:hAnsi="Arial" w:cs="Arial"/>
          <w:sz w:val="22"/>
          <w:szCs w:val="22"/>
          <w:lang w:val="fr-CA"/>
        </w:rPr>
        <w:t xml:space="preserve"> par présenter les termes clés qui seront util</w:t>
      </w:r>
      <w:r w:rsidR="007A7853" w:rsidRPr="005340E1">
        <w:rPr>
          <w:rFonts w:ascii="Arial" w:hAnsi="Arial" w:cs="Arial"/>
          <w:sz w:val="22"/>
          <w:szCs w:val="22"/>
          <w:lang w:val="fr-CA"/>
        </w:rPr>
        <w:t>isés tout au long de ce manuel.</w:t>
      </w:r>
    </w:p>
    <w:p w14:paraId="11AA86D4" w14:textId="77777777" w:rsidR="00A10933" w:rsidRPr="005340E1" w:rsidRDefault="00C52B80" w:rsidP="00A10933">
      <w:pPr>
        <w:spacing w:after="120"/>
        <w:rPr>
          <w:rFonts w:ascii="Arial" w:hAnsi="Arial" w:cs="Arial"/>
          <w:b/>
          <w:i/>
          <w:highlight w:val="yellow"/>
          <w:lang w:val="fr-CA"/>
        </w:rPr>
      </w:pPr>
      <w:r>
        <w:rPr>
          <w:rFonts w:ascii="Arial" w:hAnsi="Arial" w:cs="Arial"/>
          <w:highlight w:val="yellow"/>
          <w:lang w:val="fr-CA"/>
        </w:rPr>
        <w:pict w14:anchorId="69D063B4">
          <v:shape id="_x0000_s2814" type="#_x0000_t32" style="position:absolute;margin-left:-3pt;margin-top:7.3pt;width:474pt;height:0;z-index:251664384" o:connectortype="straight" strokeweight="2pt"/>
        </w:pict>
      </w:r>
    </w:p>
    <w:p w14:paraId="560326F1" w14:textId="2DD284B6" w:rsidR="00A10933" w:rsidRPr="005340E1" w:rsidRDefault="00EE3B34" w:rsidP="00A10933">
      <w:pPr>
        <w:spacing w:after="120"/>
        <w:rPr>
          <w:rFonts w:ascii="Arial" w:hAnsi="Arial" w:cs="Arial"/>
          <w:sz w:val="22"/>
          <w:szCs w:val="22"/>
          <w:lang w:val="fr-CA"/>
        </w:rPr>
      </w:pPr>
      <w:r w:rsidRPr="005340E1">
        <w:rPr>
          <w:rFonts w:ascii="Arial" w:hAnsi="Arial" w:cs="Arial"/>
          <w:b/>
          <w:i/>
          <w:sz w:val="22"/>
          <w:szCs w:val="22"/>
          <w:lang w:val="fr-CA"/>
        </w:rPr>
        <w:t>Dé</w:t>
      </w:r>
      <w:r w:rsidR="00A10933" w:rsidRPr="005340E1">
        <w:rPr>
          <w:rFonts w:ascii="Arial" w:hAnsi="Arial" w:cs="Arial"/>
          <w:b/>
          <w:i/>
          <w:sz w:val="22"/>
          <w:szCs w:val="22"/>
          <w:lang w:val="fr-CA"/>
        </w:rPr>
        <w:t xml:space="preserve">finition </w:t>
      </w:r>
      <w:r w:rsidRPr="005340E1">
        <w:rPr>
          <w:rFonts w:ascii="Arial" w:hAnsi="Arial" w:cs="Arial"/>
          <w:b/>
          <w:i/>
          <w:sz w:val="22"/>
          <w:szCs w:val="22"/>
          <w:lang w:val="fr-CA"/>
        </w:rPr>
        <w:t>des termes</w:t>
      </w:r>
    </w:p>
    <w:p w14:paraId="51F9C0AB" w14:textId="2DFB8B57" w:rsidR="00A10933" w:rsidRPr="005340E1" w:rsidRDefault="004D0DFF" w:rsidP="00A10933">
      <w:pPr>
        <w:spacing w:after="120"/>
        <w:rPr>
          <w:rFonts w:ascii="Arial" w:hAnsi="Arial" w:cs="Arial"/>
          <w:sz w:val="22"/>
          <w:szCs w:val="22"/>
          <w:lang w:val="fr-CA"/>
        </w:rPr>
      </w:pPr>
      <w:r w:rsidRPr="005340E1">
        <w:rPr>
          <w:rFonts w:ascii="Arial" w:hAnsi="Arial" w:cs="Arial"/>
          <w:sz w:val="22"/>
          <w:szCs w:val="22"/>
          <w:lang w:val="fr-CA"/>
        </w:rPr>
        <w:t xml:space="preserve">Plusieurs termes clés seront utilisés tout au long de ce </w:t>
      </w:r>
      <w:r w:rsidR="007A7853" w:rsidRPr="005340E1">
        <w:rPr>
          <w:rFonts w:ascii="Arial" w:hAnsi="Arial" w:cs="Arial"/>
          <w:sz w:val="22"/>
          <w:szCs w:val="22"/>
          <w:lang w:val="fr-CA"/>
        </w:rPr>
        <w:t>manuel</w:t>
      </w:r>
      <w:r w:rsidRPr="005340E1">
        <w:rPr>
          <w:rFonts w:ascii="Arial" w:hAnsi="Arial" w:cs="Arial"/>
          <w:sz w:val="22"/>
          <w:szCs w:val="22"/>
          <w:lang w:val="fr-CA"/>
        </w:rPr>
        <w:t>; nous les avons défini</w:t>
      </w:r>
      <w:r w:rsidR="008B1669">
        <w:rPr>
          <w:rFonts w:ascii="Arial" w:hAnsi="Arial" w:cs="Arial"/>
          <w:sz w:val="22"/>
          <w:szCs w:val="22"/>
          <w:lang w:val="fr-CA"/>
        </w:rPr>
        <w:t>s</w:t>
      </w:r>
      <w:r w:rsidRPr="005340E1">
        <w:rPr>
          <w:rFonts w:ascii="Arial" w:hAnsi="Arial" w:cs="Arial"/>
          <w:sz w:val="22"/>
          <w:szCs w:val="22"/>
          <w:lang w:val="fr-CA"/>
        </w:rPr>
        <w:t xml:space="preserve"> ci-dessous.</w:t>
      </w:r>
    </w:p>
    <w:p w14:paraId="75614725" w14:textId="60979F09" w:rsidR="00A10933" w:rsidRPr="005340E1" w:rsidRDefault="00A7093D" w:rsidP="00A10933">
      <w:pPr>
        <w:spacing w:after="120"/>
        <w:ind w:left="360"/>
        <w:rPr>
          <w:rFonts w:ascii="Arial" w:hAnsi="Arial" w:cs="Arial"/>
          <w:sz w:val="22"/>
          <w:szCs w:val="22"/>
          <w:highlight w:val="yellow"/>
          <w:lang w:val="fr-CA"/>
        </w:rPr>
      </w:pPr>
      <w:r w:rsidRPr="005340E1">
        <w:rPr>
          <w:rFonts w:ascii="Arial" w:hAnsi="Arial" w:cs="Arial"/>
          <w:b/>
          <w:i/>
          <w:sz w:val="22"/>
          <w:szCs w:val="22"/>
          <w:lang w:val="fr-CA"/>
        </w:rPr>
        <w:t xml:space="preserve">Services communautaires de traitement intensif (SCTI) </w:t>
      </w:r>
      <w:r w:rsidRPr="005340E1">
        <w:rPr>
          <w:rFonts w:ascii="Arial" w:hAnsi="Arial" w:cs="Arial"/>
          <w:sz w:val="22"/>
          <w:szCs w:val="22"/>
          <w:lang w:val="fr-CA"/>
        </w:rPr>
        <w:t>– Les SCTI sont une pratique fondée sur des données probantes</w:t>
      </w:r>
      <w:r w:rsidR="004826F9" w:rsidRPr="005340E1">
        <w:rPr>
          <w:rFonts w:ascii="Arial" w:hAnsi="Arial" w:cs="Arial"/>
          <w:sz w:val="22"/>
          <w:szCs w:val="22"/>
          <w:lang w:val="fr-CA"/>
        </w:rPr>
        <w:t xml:space="preserve"> et destinée aux personnes atteintes d’une maladie mentale grave et persistante.</w:t>
      </w:r>
    </w:p>
    <w:p w14:paraId="2FF34D47" w14:textId="6E12D43D" w:rsidR="00A10933" w:rsidRPr="005340E1" w:rsidRDefault="004D0DFF" w:rsidP="00A10933">
      <w:pPr>
        <w:spacing w:after="120"/>
        <w:ind w:left="360"/>
        <w:rPr>
          <w:rFonts w:ascii="Arial" w:hAnsi="Arial" w:cs="Arial"/>
          <w:sz w:val="22"/>
          <w:szCs w:val="22"/>
          <w:lang w:val="fr-CA"/>
        </w:rPr>
      </w:pPr>
      <w:r w:rsidRPr="005340E1">
        <w:rPr>
          <w:rFonts w:ascii="Arial" w:hAnsi="Arial" w:cs="Arial"/>
          <w:b/>
          <w:i/>
          <w:sz w:val="22"/>
          <w:szCs w:val="22"/>
          <w:lang w:val="fr-CA"/>
        </w:rPr>
        <w:t xml:space="preserve">Personnel </w:t>
      </w:r>
      <w:r w:rsidR="007332AC" w:rsidRPr="005340E1">
        <w:rPr>
          <w:rFonts w:ascii="Arial" w:hAnsi="Arial" w:cs="Arial"/>
          <w:b/>
          <w:i/>
          <w:sz w:val="22"/>
          <w:szCs w:val="22"/>
          <w:lang w:val="fr-CA"/>
        </w:rPr>
        <w:t xml:space="preserve">des </w:t>
      </w:r>
      <w:r w:rsidR="003A5E33" w:rsidRPr="005340E1">
        <w:rPr>
          <w:rFonts w:ascii="Arial" w:hAnsi="Arial" w:cs="Arial"/>
          <w:b/>
          <w:i/>
          <w:sz w:val="22"/>
          <w:szCs w:val="22"/>
          <w:lang w:val="fr-CA"/>
        </w:rPr>
        <w:t>services communautaires de traitement intensif</w:t>
      </w:r>
      <w:r w:rsidR="008B1669">
        <w:rPr>
          <w:rFonts w:ascii="Arial" w:hAnsi="Arial" w:cs="Arial"/>
          <w:b/>
          <w:i/>
          <w:sz w:val="22"/>
          <w:szCs w:val="22"/>
          <w:lang w:val="fr-CA"/>
        </w:rPr>
        <w:t xml:space="preserve"> (personnel des SCTI) </w:t>
      </w:r>
      <w:r w:rsidR="00A7093D" w:rsidRPr="005340E1">
        <w:rPr>
          <w:rFonts w:ascii="Arial" w:hAnsi="Arial" w:cs="Arial"/>
          <w:sz w:val="22"/>
          <w:szCs w:val="22"/>
          <w:lang w:val="fr-CA"/>
        </w:rPr>
        <w:t xml:space="preserve">– Les membres du personnel des SCTI peuvent inclure, mais sans s’y limiter : des gestionnaires de cas, des travailleurs sociaux, des </w:t>
      </w:r>
      <w:r w:rsidR="005340E1" w:rsidRPr="005340E1">
        <w:rPr>
          <w:rFonts w:ascii="Arial" w:hAnsi="Arial" w:cs="Arial"/>
          <w:sz w:val="22"/>
          <w:szCs w:val="22"/>
          <w:lang w:val="fr-CA"/>
        </w:rPr>
        <w:t>thérapeutes</w:t>
      </w:r>
      <w:r w:rsidR="00A7093D" w:rsidRPr="005340E1">
        <w:rPr>
          <w:rFonts w:ascii="Arial" w:hAnsi="Arial" w:cs="Arial"/>
          <w:sz w:val="22"/>
          <w:szCs w:val="22"/>
          <w:lang w:val="fr-CA"/>
        </w:rPr>
        <w:t xml:space="preserve">, du personnel infirmier, des psychiatres, des </w:t>
      </w:r>
      <w:r w:rsidR="00D369CF" w:rsidRPr="005340E1">
        <w:rPr>
          <w:rFonts w:ascii="Arial" w:hAnsi="Arial" w:cs="Arial"/>
          <w:sz w:val="22"/>
          <w:szCs w:val="22"/>
          <w:lang w:val="fr-CA"/>
        </w:rPr>
        <w:t>spécialistes</w:t>
      </w:r>
      <w:r w:rsidR="00A7093D" w:rsidRPr="005340E1">
        <w:rPr>
          <w:rFonts w:ascii="Arial" w:hAnsi="Arial" w:cs="Arial"/>
          <w:sz w:val="22"/>
          <w:szCs w:val="22"/>
          <w:lang w:val="fr-CA"/>
        </w:rPr>
        <w:t xml:space="preserve"> en toxicomanie</w:t>
      </w:r>
      <w:r w:rsidR="00A10933" w:rsidRPr="005340E1">
        <w:rPr>
          <w:rFonts w:ascii="Arial" w:hAnsi="Arial" w:cs="Arial"/>
          <w:sz w:val="22"/>
          <w:szCs w:val="22"/>
          <w:lang w:val="fr-CA"/>
        </w:rPr>
        <w:t xml:space="preserve">, </w:t>
      </w:r>
      <w:r w:rsidR="00193966" w:rsidRPr="005340E1">
        <w:rPr>
          <w:rFonts w:ascii="Arial" w:hAnsi="Arial" w:cs="Arial"/>
          <w:sz w:val="22"/>
          <w:szCs w:val="22"/>
          <w:lang w:val="fr-CA"/>
        </w:rPr>
        <w:t xml:space="preserve">des spécialistes en logement, des spécialistes en prestations d’aide </w:t>
      </w:r>
      <w:r w:rsidR="00A7093D" w:rsidRPr="005340E1">
        <w:rPr>
          <w:rFonts w:ascii="Arial" w:hAnsi="Arial" w:cs="Arial"/>
          <w:sz w:val="22"/>
          <w:szCs w:val="22"/>
          <w:lang w:val="fr-CA"/>
        </w:rPr>
        <w:t>et des</w:t>
      </w:r>
      <w:r w:rsidR="003A5E33" w:rsidRPr="005340E1">
        <w:rPr>
          <w:rFonts w:ascii="Arial" w:hAnsi="Arial" w:cs="Arial"/>
          <w:sz w:val="22"/>
          <w:szCs w:val="22"/>
          <w:lang w:val="fr-CA"/>
        </w:rPr>
        <w:t xml:space="preserve"> </w:t>
      </w:r>
      <w:r w:rsidR="00193966" w:rsidRPr="005340E1">
        <w:rPr>
          <w:rFonts w:ascii="Arial" w:hAnsi="Arial" w:cs="Arial"/>
          <w:sz w:val="22"/>
          <w:szCs w:val="22"/>
          <w:lang w:val="fr-CA"/>
        </w:rPr>
        <w:t>travailleurs de soutien par les pairs</w:t>
      </w:r>
      <w:r w:rsidR="003A5E33" w:rsidRPr="005340E1">
        <w:rPr>
          <w:rFonts w:ascii="Arial" w:hAnsi="Arial" w:cs="Arial"/>
          <w:sz w:val="22"/>
          <w:szCs w:val="22"/>
          <w:lang w:val="fr-CA"/>
        </w:rPr>
        <w:t>.</w:t>
      </w:r>
    </w:p>
    <w:p w14:paraId="23E879EE" w14:textId="63651FE5" w:rsidR="00A10933" w:rsidRPr="005340E1" w:rsidRDefault="007A7853" w:rsidP="00A10933">
      <w:pPr>
        <w:spacing w:after="120"/>
        <w:ind w:left="360"/>
        <w:rPr>
          <w:rFonts w:ascii="Arial" w:hAnsi="Arial" w:cs="Arial"/>
          <w:sz w:val="22"/>
          <w:szCs w:val="22"/>
          <w:lang w:val="fr-CA"/>
        </w:rPr>
      </w:pPr>
      <w:r w:rsidRPr="005340E1">
        <w:rPr>
          <w:rFonts w:ascii="Arial" w:hAnsi="Arial" w:cs="Arial"/>
          <w:b/>
          <w:i/>
          <w:sz w:val="22"/>
          <w:szCs w:val="22"/>
          <w:lang w:val="fr-CA"/>
        </w:rPr>
        <w:t xml:space="preserve">Client </w:t>
      </w:r>
      <w:r w:rsidR="007332AC" w:rsidRPr="005340E1">
        <w:rPr>
          <w:rFonts w:ascii="Arial" w:hAnsi="Arial" w:cs="Arial"/>
          <w:b/>
          <w:i/>
          <w:sz w:val="22"/>
          <w:szCs w:val="22"/>
          <w:lang w:val="fr-CA"/>
        </w:rPr>
        <w:t>des services communautair</w:t>
      </w:r>
      <w:r w:rsidR="008B1669">
        <w:rPr>
          <w:rFonts w:ascii="Arial" w:hAnsi="Arial" w:cs="Arial"/>
          <w:b/>
          <w:i/>
          <w:sz w:val="22"/>
          <w:szCs w:val="22"/>
          <w:lang w:val="fr-CA"/>
        </w:rPr>
        <w:t>es de traitement intensif</w:t>
      </w:r>
      <w:r w:rsidR="003A5E33" w:rsidRPr="005340E1">
        <w:rPr>
          <w:rFonts w:ascii="Arial" w:hAnsi="Arial" w:cs="Arial"/>
          <w:b/>
          <w:i/>
          <w:sz w:val="22"/>
          <w:szCs w:val="22"/>
          <w:lang w:val="fr-CA"/>
        </w:rPr>
        <w:t xml:space="preserve"> </w:t>
      </w:r>
      <w:r w:rsidR="008B1669">
        <w:rPr>
          <w:rFonts w:ascii="Arial" w:hAnsi="Arial" w:cs="Arial"/>
          <w:b/>
          <w:i/>
          <w:sz w:val="22"/>
          <w:szCs w:val="22"/>
          <w:lang w:val="fr-CA"/>
        </w:rPr>
        <w:t xml:space="preserve">(client des SCTI) </w:t>
      </w:r>
      <w:r w:rsidR="00A7093D" w:rsidRPr="005340E1">
        <w:rPr>
          <w:rFonts w:ascii="Arial" w:hAnsi="Arial" w:cs="Arial"/>
          <w:sz w:val="22"/>
          <w:szCs w:val="22"/>
          <w:lang w:val="fr-CA"/>
        </w:rPr>
        <w:t xml:space="preserve">– Ce terme </w:t>
      </w:r>
      <w:r w:rsidR="003A5E33" w:rsidRPr="005340E1">
        <w:rPr>
          <w:rFonts w:ascii="Arial" w:hAnsi="Arial" w:cs="Arial"/>
          <w:sz w:val="22"/>
          <w:szCs w:val="22"/>
          <w:lang w:val="fr-CA"/>
        </w:rPr>
        <w:t>désigne une personne atteinte d’une maladie mentale grave et persistante et qui reçoit des SCTI.</w:t>
      </w:r>
    </w:p>
    <w:p w14:paraId="289A70D6" w14:textId="28940817" w:rsidR="00A10933" w:rsidRPr="005340E1" w:rsidRDefault="00A10933" w:rsidP="00A10933">
      <w:pPr>
        <w:spacing w:after="120"/>
        <w:ind w:left="360"/>
        <w:rPr>
          <w:rFonts w:ascii="Arial" w:hAnsi="Arial" w:cs="Arial"/>
          <w:sz w:val="22"/>
          <w:szCs w:val="22"/>
          <w:lang w:val="fr-CA"/>
        </w:rPr>
      </w:pPr>
      <w:r w:rsidRPr="005340E1">
        <w:rPr>
          <w:rFonts w:ascii="Arial" w:hAnsi="Arial" w:cs="Arial"/>
          <w:b/>
          <w:i/>
          <w:sz w:val="22"/>
          <w:szCs w:val="22"/>
          <w:lang w:val="fr-CA"/>
        </w:rPr>
        <w:t>Transition</w:t>
      </w:r>
      <w:r w:rsidRPr="005340E1">
        <w:rPr>
          <w:rFonts w:ascii="Arial" w:hAnsi="Arial" w:cs="Arial"/>
          <w:sz w:val="22"/>
          <w:szCs w:val="22"/>
          <w:lang w:val="fr-CA"/>
        </w:rPr>
        <w:t xml:space="preserve"> – </w:t>
      </w:r>
      <w:r w:rsidR="00A7093D" w:rsidRPr="005340E1">
        <w:rPr>
          <w:rFonts w:ascii="Arial" w:hAnsi="Arial" w:cs="Arial"/>
          <w:sz w:val="22"/>
          <w:szCs w:val="22"/>
          <w:lang w:val="fr-CA"/>
        </w:rPr>
        <w:t>C</w:t>
      </w:r>
      <w:r w:rsidR="007A7853" w:rsidRPr="005340E1">
        <w:rPr>
          <w:rFonts w:ascii="Arial" w:hAnsi="Arial" w:cs="Arial"/>
          <w:sz w:val="22"/>
          <w:szCs w:val="22"/>
          <w:lang w:val="fr-CA"/>
        </w:rPr>
        <w:t xml:space="preserve">e terme désigne une transition planifiée </w:t>
      </w:r>
      <w:r w:rsidR="003A5E33" w:rsidRPr="005340E1">
        <w:rPr>
          <w:rFonts w:ascii="Arial" w:hAnsi="Arial" w:cs="Arial"/>
          <w:sz w:val="22"/>
          <w:szCs w:val="22"/>
          <w:lang w:val="fr-CA"/>
        </w:rPr>
        <w:t>des SCTI vers des services moins intensifs</w:t>
      </w:r>
      <w:r w:rsidR="003F2299" w:rsidRPr="005340E1">
        <w:rPr>
          <w:rFonts w:ascii="Arial" w:hAnsi="Arial" w:cs="Arial"/>
          <w:sz w:val="22"/>
          <w:szCs w:val="22"/>
          <w:lang w:val="fr-CA"/>
        </w:rPr>
        <w:t>.</w:t>
      </w:r>
    </w:p>
    <w:p w14:paraId="47E77F42" w14:textId="30F88144" w:rsidR="00A10933" w:rsidRPr="005340E1" w:rsidRDefault="003F2299" w:rsidP="00A10933">
      <w:pPr>
        <w:spacing w:after="120"/>
        <w:ind w:left="360"/>
        <w:rPr>
          <w:rFonts w:ascii="Arial" w:hAnsi="Arial" w:cs="Arial"/>
          <w:sz w:val="22"/>
          <w:szCs w:val="22"/>
          <w:lang w:val="fr-CA"/>
        </w:rPr>
      </w:pPr>
      <w:r w:rsidRPr="005340E1">
        <w:rPr>
          <w:rFonts w:ascii="Arial" w:hAnsi="Arial" w:cs="Arial"/>
          <w:b/>
          <w:i/>
          <w:sz w:val="22"/>
          <w:szCs w:val="22"/>
          <w:lang w:val="fr-CA"/>
        </w:rPr>
        <w:t xml:space="preserve">Préparation à la transition </w:t>
      </w:r>
      <w:r w:rsidRPr="005340E1">
        <w:rPr>
          <w:rFonts w:ascii="Arial" w:hAnsi="Arial" w:cs="Arial"/>
          <w:sz w:val="22"/>
          <w:szCs w:val="22"/>
          <w:lang w:val="fr-CA"/>
        </w:rPr>
        <w:t xml:space="preserve">– La préparation à la transition désigne </w:t>
      </w:r>
      <w:r w:rsidR="00975A03" w:rsidRPr="005340E1">
        <w:rPr>
          <w:rFonts w:ascii="Arial" w:hAnsi="Arial" w:cs="Arial"/>
          <w:sz w:val="22"/>
          <w:szCs w:val="22"/>
          <w:lang w:val="fr-CA"/>
        </w:rPr>
        <w:t xml:space="preserve">le potentiel d’un </w:t>
      </w:r>
      <w:r w:rsidR="00D53E54" w:rsidRPr="005340E1">
        <w:rPr>
          <w:rFonts w:ascii="Arial" w:hAnsi="Arial" w:cs="Arial"/>
          <w:sz w:val="22"/>
          <w:szCs w:val="22"/>
          <w:lang w:val="fr-CA"/>
        </w:rPr>
        <w:t xml:space="preserve">client des SCTI </w:t>
      </w:r>
      <w:r w:rsidR="00094222" w:rsidRPr="005340E1">
        <w:rPr>
          <w:rFonts w:ascii="Arial" w:hAnsi="Arial" w:cs="Arial"/>
          <w:sz w:val="22"/>
          <w:szCs w:val="22"/>
          <w:lang w:val="fr-CA"/>
        </w:rPr>
        <w:t>à</w:t>
      </w:r>
      <w:r w:rsidR="009D2170" w:rsidRPr="005340E1">
        <w:rPr>
          <w:rFonts w:ascii="Arial" w:hAnsi="Arial" w:cs="Arial"/>
          <w:sz w:val="22"/>
          <w:szCs w:val="22"/>
          <w:lang w:val="fr-CA"/>
        </w:rPr>
        <w:t xml:space="preserve"> faire la transition des SCTI vers des services moins intensifs</w:t>
      </w:r>
      <w:r w:rsidR="000F55E0">
        <w:rPr>
          <w:rFonts w:ascii="Arial" w:hAnsi="Arial" w:cs="Arial"/>
          <w:sz w:val="22"/>
          <w:szCs w:val="22"/>
          <w:lang w:val="fr-CA"/>
        </w:rPr>
        <w:t>,</w:t>
      </w:r>
      <w:r w:rsidR="009D2170" w:rsidRPr="005340E1">
        <w:rPr>
          <w:rFonts w:ascii="Arial" w:hAnsi="Arial" w:cs="Arial"/>
          <w:sz w:val="22"/>
          <w:szCs w:val="22"/>
          <w:lang w:val="fr-CA"/>
        </w:rPr>
        <w:t xml:space="preserve"> sans</w:t>
      </w:r>
      <w:r w:rsidR="00D53E54" w:rsidRPr="005340E1">
        <w:rPr>
          <w:rFonts w:ascii="Arial" w:hAnsi="Arial" w:cs="Arial"/>
          <w:sz w:val="22"/>
          <w:szCs w:val="22"/>
          <w:lang w:val="fr-CA"/>
        </w:rPr>
        <w:t xml:space="preserve"> subir</w:t>
      </w:r>
      <w:r w:rsidR="009D2170" w:rsidRPr="005340E1">
        <w:rPr>
          <w:rFonts w:ascii="Arial" w:hAnsi="Arial" w:cs="Arial"/>
          <w:sz w:val="22"/>
          <w:szCs w:val="22"/>
          <w:lang w:val="fr-CA"/>
        </w:rPr>
        <w:t xml:space="preserve"> </w:t>
      </w:r>
      <w:r w:rsidR="00975A03" w:rsidRPr="005340E1">
        <w:rPr>
          <w:rFonts w:ascii="Arial" w:hAnsi="Arial" w:cs="Arial"/>
          <w:sz w:val="22"/>
          <w:szCs w:val="22"/>
          <w:lang w:val="fr-CA"/>
        </w:rPr>
        <w:t xml:space="preserve">une détérioration </w:t>
      </w:r>
      <w:r w:rsidR="00EC4BEB" w:rsidRPr="005340E1">
        <w:rPr>
          <w:rFonts w:ascii="Arial" w:hAnsi="Arial" w:cs="Arial"/>
          <w:sz w:val="22"/>
          <w:szCs w:val="22"/>
          <w:lang w:val="fr-CA"/>
        </w:rPr>
        <w:t>de son niveau de</w:t>
      </w:r>
      <w:r w:rsidR="00975A03" w:rsidRPr="005340E1">
        <w:rPr>
          <w:rFonts w:ascii="Arial" w:hAnsi="Arial" w:cs="Arial"/>
          <w:sz w:val="22"/>
          <w:szCs w:val="22"/>
          <w:lang w:val="fr-CA"/>
        </w:rPr>
        <w:t xml:space="preserve"> fonctionnement ni de résultats </w:t>
      </w:r>
      <w:r w:rsidR="005340E1" w:rsidRPr="005340E1">
        <w:rPr>
          <w:rFonts w:ascii="Arial" w:hAnsi="Arial" w:cs="Arial"/>
          <w:sz w:val="22"/>
          <w:szCs w:val="22"/>
          <w:lang w:val="fr-CA"/>
        </w:rPr>
        <w:t>indésirables</w:t>
      </w:r>
      <w:r w:rsidR="00A10933" w:rsidRPr="005340E1">
        <w:rPr>
          <w:rFonts w:ascii="Arial" w:hAnsi="Arial" w:cs="Arial"/>
          <w:sz w:val="22"/>
          <w:szCs w:val="22"/>
          <w:lang w:val="fr-CA"/>
        </w:rPr>
        <w:t xml:space="preserve">, </w:t>
      </w:r>
      <w:r w:rsidR="00975A03" w:rsidRPr="005340E1">
        <w:rPr>
          <w:rFonts w:ascii="Arial" w:hAnsi="Arial" w:cs="Arial"/>
          <w:sz w:val="22"/>
          <w:szCs w:val="22"/>
          <w:lang w:val="fr-CA"/>
        </w:rPr>
        <w:t>comme l’hospitalisation ou l’incarcération</w:t>
      </w:r>
      <w:r w:rsidRPr="005340E1">
        <w:rPr>
          <w:rFonts w:ascii="Arial" w:hAnsi="Arial" w:cs="Arial"/>
          <w:sz w:val="22"/>
          <w:szCs w:val="22"/>
          <w:lang w:val="fr-CA"/>
        </w:rPr>
        <w:t>.</w:t>
      </w:r>
    </w:p>
    <w:p w14:paraId="1709E5B0" w14:textId="228E45DC" w:rsidR="00A10933" w:rsidRPr="005340E1" w:rsidRDefault="002E70B7" w:rsidP="00A10933">
      <w:pPr>
        <w:spacing w:after="120"/>
        <w:ind w:left="360"/>
        <w:rPr>
          <w:rFonts w:ascii="Arial" w:hAnsi="Arial" w:cs="Arial"/>
          <w:sz w:val="22"/>
          <w:szCs w:val="22"/>
          <w:lang w:val="fr-CA"/>
        </w:rPr>
      </w:pPr>
      <w:r w:rsidRPr="005340E1">
        <w:rPr>
          <w:rFonts w:ascii="Arial" w:hAnsi="Arial" w:cs="Arial"/>
          <w:b/>
          <w:i/>
          <w:sz w:val="22"/>
          <w:szCs w:val="22"/>
          <w:lang w:val="fr-CA"/>
        </w:rPr>
        <w:t xml:space="preserve">Services moins intensifs </w:t>
      </w:r>
      <w:r w:rsidR="00A10933" w:rsidRPr="005340E1">
        <w:rPr>
          <w:rFonts w:ascii="Arial" w:hAnsi="Arial" w:cs="Arial"/>
          <w:sz w:val="22"/>
          <w:szCs w:val="22"/>
          <w:lang w:val="fr-CA"/>
        </w:rPr>
        <w:t xml:space="preserve">– </w:t>
      </w:r>
      <w:r w:rsidR="00193966" w:rsidRPr="005340E1">
        <w:rPr>
          <w:rFonts w:ascii="Arial" w:hAnsi="Arial" w:cs="Arial"/>
          <w:sz w:val="22"/>
          <w:szCs w:val="22"/>
          <w:lang w:val="fr-CA"/>
        </w:rPr>
        <w:t>Ce terme est utilisé tout au long de ce manuel pour décrire les services qui</w:t>
      </w:r>
      <w:r w:rsidR="009D2170" w:rsidRPr="005340E1">
        <w:rPr>
          <w:rFonts w:ascii="Arial" w:hAnsi="Arial" w:cs="Arial"/>
          <w:sz w:val="22"/>
          <w:szCs w:val="22"/>
          <w:lang w:val="fr-CA"/>
        </w:rPr>
        <w:t xml:space="preserve"> sont moins intensifs et/ou moins fréquents que les SCTI. Ces services peuvent aussi être </w:t>
      </w:r>
      <w:r w:rsidR="00D26795">
        <w:rPr>
          <w:rFonts w:ascii="Arial" w:hAnsi="Arial" w:cs="Arial"/>
          <w:sz w:val="22"/>
          <w:szCs w:val="22"/>
          <w:lang w:val="fr-CA"/>
        </w:rPr>
        <w:t>désignés</w:t>
      </w:r>
      <w:r w:rsidR="009D2170" w:rsidRPr="005340E1">
        <w:rPr>
          <w:rFonts w:ascii="Arial" w:hAnsi="Arial" w:cs="Arial"/>
          <w:sz w:val="22"/>
          <w:szCs w:val="22"/>
          <w:lang w:val="fr-CA"/>
        </w:rPr>
        <w:t xml:space="preserve"> par les termes </w:t>
      </w:r>
      <w:r w:rsidR="00D26795">
        <w:rPr>
          <w:rFonts w:ascii="Arial" w:hAnsi="Arial" w:cs="Arial"/>
          <w:sz w:val="22"/>
          <w:szCs w:val="22"/>
          <w:lang w:val="fr-CA"/>
        </w:rPr>
        <w:t xml:space="preserve">suivants : </w:t>
      </w:r>
      <w:r w:rsidR="009D2170" w:rsidRPr="005340E1">
        <w:rPr>
          <w:rFonts w:ascii="Arial" w:hAnsi="Arial" w:cs="Arial"/>
          <w:sz w:val="22"/>
          <w:szCs w:val="22"/>
          <w:lang w:val="fr-CA"/>
        </w:rPr>
        <w:t>soins habituels, gestion de cas traditionnelle, ou soutien communautaire dans la communauté.</w:t>
      </w:r>
    </w:p>
    <w:p w14:paraId="71BD5B30" w14:textId="77777777" w:rsidR="00A10933" w:rsidRPr="005340E1" w:rsidRDefault="00C52B80" w:rsidP="00A10933">
      <w:pPr>
        <w:spacing w:after="120"/>
        <w:rPr>
          <w:rFonts w:ascii="Arial" w:hAnsi="Arial" w:cs="Arial"/>
          <w:b/>
          <w:i/>
          <w:lang w:val="fr-CA"/>
        </w:rPr>
      </w:pPr>
      <w:r>
        <w:rPr>
          <w:rFonts w:ascii="Arial" w:hAnsi="Arial" w:cs="Arial"/>
          <w:highlight w:val="yellow"/>
          <w:lang w:val="fr-CA"/>
        </w:rPr>
        <w:pict w14:anchorId="7A8DCE1F">
          <v:shape id="_x0000_s2815" type="#_x0000_t32" style="position:absolute;margin-left:.75pt;margin-top:7.85pt;width:474pt;height:0;z-index:251665408" o:connectortype="straight" strokeweight="2pt"/>
        </w:pict>
      </w:r>
    </w:p>
    <w:p w14:paraId="086040DE" w14:textId="2128361A" w:rsidR="00A10933" w:rsidRPr="005340E1" w:rsidRDefault="002E70B7" w:rsidP="00A10933">
      <w:pPr>
        <w:spacing w:after="120"/>
        <w:rPr>
          <w:rFonts w:ascii="Arial" w:hAnsi="Arial" w:cs="Arial"/>
          <w:sz w:val="22"/>
          <w:szCs w:val="22"/>
          <w:lang w:val="fr-CA"/>
        </w:rPr>
      </w:pPr>
      <w:r w:rsidRPr="005340E1">
        <w:rPr>
          <w:rFonts w:ascii="Arial" w:hAnsi="Arial" w:cs="Arial"/>
          <w:b/>
          <w:i/>
          <w:sz w:val="22"/>
          <w:szCs w:val="22"/>
          <w:lang w:val="fr-CA"/>
        </w:rPr>
        <w:t>Revue des écrits</w:t>
      </w:r>
    </w:p>
    <w:p w14:paraId="6FA54502" w14:textId="72F1CCF3" w:rsidR="00A10933" w:rsidRPr="005340E1" w:rsidRDefault="00D53E54" w:rsidP="00D53E54">
      <w:pPr>
        <w:tabs>
          <w:tab w:val="left" w:pos="3828"/>
        </w:tabs>
        <w:spacing w:after="120"/>
        <w:ind w:firstLine="360"/>
        <w:rPr>
          <w:rFonts w:ascii="Arial" w:hAnsi="Arial" w:cs="Arial"/>
          <w:sz w:val="22"/>
          <w:szCs w:val="22"/>
          <w:highlight w:val="yellow"/>
          <w:lang w:val="fr-CA"/>
        </w:rPr>
      </w:pPr>
      <w:r w:rsidRPr="005340E1">
        <w:rPr>
          <w:rFonts w:ascii="Arial" w:hAnsi="Arial" w:cs="Arial"/>
          <w:sz w:val="22"/>
          <w:szCs w:val="22"/>
          <w:lang w:val="fr-CA"/>
        </w:rPr>
        <w:t xml:space="preserve">Les services communautaires de traitement intensif (SCTI) sont une pratique fondée sur des données probantes et destinée aux personnes atteintes d’une maladie mentale grave et </w:t>
      </w:r>
      <w:r w:rsidRPr="005340E1">
        <w:rPr>
          <w:rFonts w:ascii="Arial" w:hAnsi="Arial" w:cs="Arial"/>
          <w:sz w:val="22"/>
          <w:szCs w:val="22"/>
          <w:lang w:val="fr-CA"/>
        </w:rPr>
        <w:lastRenderedPageBreak/>
        <w:t xml:space="preserve">persistante. Ces services sont caractérisés par une approche </w:t>
      </w:r>
      <w:r w:rsidR="00EC2C77" w:rsidRPr="005340E1">
        <w:rPr>
          <w:rFonts w:ascii="Arial" w:hAnsi="Arial" w:cs="Arial"/>
          <w:sz w:val="22"/>
          <w:szCs w:val="22"/>
          <w:lang w:val="fr-CA"/>
        </w:rPr>
        <w:t xml:space="preserve">d’équipe multidisciplinaire </w:t>
      </w:r>
      <w:r w:rsidR="006501CA" w:rsidRPr="005340E1">
        <w:rPr>
          <w:rFonts w:ascii="Arial" w:hAnsi="Arial" w:cs="Arial"/>
          <w:sz w:val="22"/>
          <w:szCs w:val="22"/>
          <w:lang w:val="fr-CA"/>
        </w:rPr>
        <w:t xml:space="preserve">qui offre un </w:t>
      </w:r>
      <w:r w:rsidR="00520A12" w:rsidRPr="005340E1">
        <w:rPr>
          <w:rFonts w:ascii="Arial" w:hAnsi="Arial" w:cs="Arial"/>
          <w:sz w:val="22"/>
          <w:szCs w:val="22"/>
          <w:lang w:val="fr-CA"/>
        </w:rPr>
        <w:t xml:space="preserve">faible ratio personnel-clients </w:t>
      </w:r>
      <w:r w:rsidR="006501CA" w:rsidRPr="005340E1">
        <w:rPr>
          <w:rFonts w:ascii="Arial" w:hAnsi="Arial" w:cs="Arial"/>
          <w:sz w:val="22"/>
          <w:szCs w:val="22"/>
          <w:lang w:val="fr-CA"/>
        </w:rPr>
        <w:t>(1:10)</w:t>
      </w:r>
      <w:r w:rsidR="00A10933" w:rsidRPr="005340E1">
        <w:rPr>
          <w:rFonts w:ascii="Arial" w:hAnsi="Arial" w:cs="Arial"/>
          <w:sz w:val="22"/>
          <w:szCs w:val="22"/>
          <w:lang w:val="fr-CA"/>
        </w:rPr>
        <w:t xml:space="preserve">, </w:t>
      </w:r>
      <w:r w:rsidR="00D26795">
        <w:rPr>
          <w:rFonts w:ascii="Arial" w:hAnsi="Arial" w:cs="Arial"/>
          <w:sz w:val="22"/>
          <w:szCs w:val="22"/>
          <w:lang w:val="fr-CA"/>
        </w:rPr>
        <w:t>une</w:t>
      </w:r>
      <w:r w:rsidR="006501CA" w:rsidRPr="005340E1">
        <w:rPr>
          <w:rFonts w:ascii="Arial" w:hAnsi="Arial" w:cs="Arial"/>
          <w:sz w:val="22"/>
          <w:szCs w:val="22"/>
          <w:lang w:val="fr-CA"/>
        </w:rPr>
        <w:t xml:space="preserve"> disponibilité </w:t>
      </w:r>
      <w:r w:rsidR="00A10933" w:rsidRPr="005340E1">
        <w:rPr>
          <w:rFonts w:ascii="Arial" w:hAnsi="Arial" w:cs="Arial"/>
          <w:sz w:val="22"/>
          <w:szCs w:val="22"/>
          <w:lang w:val="fr-CA"/>
        </w:rPr>
        <w:t xml:space="preserve">24/7, </w:t>
      </w:r>
      <w:r w:rsidR="005E429B" w:rsidRPr="005340E1">
        <w:rPr>
          <w:rFonts w:ascii="Arial" w:hAnsi="Arial" w:cs="Arial"/>
          <w:sz w:val="22"/>
          <w:szCs w:val="22"/>
          <w:lang w:val="fr-CA"/>
        </w:rPr>
        <w:t>des programmes agressifs d’action sociale et d’</w:t>
      </w:r>
      <w:r w:rsidR="00CF4507" w:rsidRPr="005340E1">
        <w:rPr>
          <w:rFonts w:ascii="Arial" w:hAnsi="Arial" w:cs="Arial"/>
          <w:sz w:val="22"/>
          <w:szCs w:val="22"/>
          <w:lang w:val="fr-CA"/>
        </w:rPr>
        <w:t>engagement</w:t>
      </w:r>
      <w:r w:rsidR="00A10933" w:rsidRPr="005340E1">
        <w:rPr>
          <w:rFonts w:ascii="Arial" w:hAnsi="Arial" w:cs="Arial"/>
          <w:sz w:val="22"/>
          <w:szCs w:val="22"/>
          <w:lang w:val="fr-CA"/>
        </w:rPr>
        <w:t xml:space="preserve">, </w:t>
      </w:r>
      <w:r w:rsidR="006501CA" w:rsidRPr="005340E1">
        <w:rPr>
          <w:rFonts w:ascii="Arial" w:hAnsi="Arial" w:cs="Arial"/>
          <w:sz w:val="22"/>
          <w:szCs w:val="22"/>
          <w:lang w:val="fr-CA"/>
        </w:rPr>
        <w:t>ainsi qu’une grande gamme d’interventions psychosociales</w:t>
      </w:r>
      <w:r w:rsidR="00A10933" w:rsidRPr="005340E1">
        <w:rPr>
          <w:rFonts w:ascii="Arial" w:hAnsi="Arial" w:cs="Arial"/>
          <w:sz w:val="22"/>
          <w:szCs w:val="22"/>
          <w:lang w:val="fr-CA"/>
        </w:rPr>
        <w:t>.</w:t>
      </w:r>
      <w:r w:rsidR="00A10933" w:rsidRPr="005340E1">
        <w:rPr>
          <w:rStyle w:val="FootnoteReference"/>
          <w:rFonts w:ascii="Arial" w:hAnsi="Arial" w:cs="Arial"/>
          <w:sz w:val="22"/>
          <w:szCs w:val="22"/>
          <w:lang w:val="fr-CA"/>
        </w:rPr>
        <w:footnoteReference w:id="2"/>
      </w:r>
      <w:r w:rsidR="00A10933" w:rsidRPr="005340E1">
        <w:rPr>
          <w:rFonts w:ascii="Arial" w:hAnsi="Arial" w:cs="Arial"/>
          <w:sz w:val="22"/>
          <w:szCs w:val="22"/>
          <w:lang w:val="fr-CA"/>
        </w:rPr>
        <w:t xml:space="preserve"> </w:t>
      </w:r>
      <w:r w:rsidR="004179C7" w:rsidRPr="005340E1">
        <w:rPr>
          <w:rFonts w:ascii="Arial" w:hAnsi="Arial" w:cs="Arial"/>
          <w:sz w:val="22"/>
          <w:szCs w:val="22"/>
          <w:lang w:val="fr-CA"/>
        </w:rPr>
        <w:t>Les SCTI ciblent les personnes les plus gravement malades</w:t>
      </w:r>
      <w:r w:rsidR="00D007B2" w:rsidRPr="005340E1">
        <w:rPr>
          <w:rFonts w:ascii="Arial" w:hAnsi="Arial" w:cs="Arial"/>
          <w:sz w:val="22"/>
          <w:szCs w:val="22"/>
          <w:lang w:val="fr-CA"/>
        </w:rPr>
        <w:t xml:space="preserve"> parmi celles qui sont atteintes d’une maladie mentale, et on pensait à l’origine que les personnes ayant besoin de SCTI en auraient besoin tout leur vie</w:t>
      </w:r>
      <w:r w:rsidR="00A10933" w:rsidRPr="005340E1">
        <w:rPr>
          <w:rFonts w:ascii="Arial" w:hAnsi="Arial" w:cs="Arial"/>
          <w:sz w:val="22"/>
          <w:szCs w:val="22"/>
          <w:lang w:val="fr-CA"/>
        </w:rPr>
        <w:t>.</w:t>
      </w:r>
      <w:r w:rsidR="00A10933" w:rsidRPr="005340E1">
        <w:rPr>
          <w:rStyle w:val="FootnoteReference"/>
          <w:rFonts w:ascii="Arial" w:hAnsi="Arial" w:cs="Arial"/>
          <w:sz w:val="22"/>
          <w:szCs w:val="22"/>
          <w:lang w:val="fr-CA"/>
        </w:rPr>
        <w:footnoteReference w:id="3"/>
      </w:r>
      <w:r w:rsidR="00094222" w:rsidRPr="005340E1">
        <w:rPr>
          <w:rFonts w:ascii="Arial" w:hAnsi="Arial" w:cs="Arial"/>
          <w:sz w:val="22"/>
          <w:szCs w:val="22"/>
          <w:lang w:val="fr-CA"/>
        </w:rPr>
        <w:t xml:space="preserve"> Toutefois, cette perspective de </w:t>
      </w:r>
      <w:r w:rsidR="00D26795">
        <w:rPr>
          <w:rFonts w:ascii="Arial" w:hAnsi="Arial" w:cs="Arial"/>
          <w:sz w:val="22"/>
          <w:szCs w:val="22"/>
          <w:lang w:val="fr-CA"/>
        </w:rPr>
        <w:t>« </w:t>
      </w:r>
      <w:r w:rsidR="00D007B2" w:rsidRPr="005340E1">
        <w:rPr>
          <w:rFonts w:ascii="Arial" w:hAnsi="Arial" w:cs="Arial"/>
          <w:sz w:val="22"/>
          <w:szCs w:val="22"/>
          <w:lang w:val="fr-CA"/>
        </w:rPr>
        <w:t xml:space="preserve">SCTI à vie » </w:t>
      </w:r>
      <w:r w:rsidR="00094222" w:rsidRPr="005340E1">
        <w:rPr>
          <w:rFonts w:ascii="Arial" w:hAnsi="Arial" w:cs="Arial"/>
          <w:sz w:val="22"/>
          <w:szCs w:val="22"/>
          <w:lang w:val="fr-CA"/>
        </w:rPr>
        <w:t xml:space="preserve">est contraire à ce que nous savons aujourd’hui au sujet du rétablissement </w:t>
      </w:r>
      <w:r w:rsidR="00D26795">
        <w:rPr>
          <w:rFonts w:ascii="Arial" w:hAnsi="Arial" w:cs="Arial"/>
          <w:sz w:val="22"/>
          <w:szCs w:val="22"/>
          <w:lang w:val="fr-CA"/>
        </w:rPr>
        <w:t>à la suite d’une</w:t>
      </w:r>
      <w:r w:rsidR="00094222" w:rsidRPr="005340E1">
        <w:rPr>
          <w:rFonts w:ascii="Arial" w:hAnsi="Arial" w:cs="Arial"/>
          <w:sz w:val="22"/>
          <w:szCs w:val="22"/>
          <w:lang w:val="fr-CA"/>
        </w:rPr>
        <w:t xml:space="preserve"> maladie mentale et elle présente un défi important</w:t>
      </w:r>
      <w:r w:rsidR="006501CA" w:rsidRPr="005340E1">
        <w:rPr>
          <w:rFonts w:ascii="Arial" w:hAnsi="Arial" w:cs="Arial"/>
          <w:sz w:val="22"/>
          <w:szCs w:val="22"/>
          <w:lang w:val="fr-CA"/>
        </w:rPr>
        <w:t xml:space="preserve">, </w:t>
      </w:r>
      <w:r w:rsidR="00EC2C77" w:rsidRPr="005340E1">
        <w:rPr>
          <w:rFonts w:ascii="Arial" w:hAnsi="Arial" w:cs="Arial"/>
          <w:sz w:val="22"/>
          <w:szCs w:val="22"/>
          <w:lang w:val="fr-CA"/>
        </w:rPr>
        <w:t>parce qu’une fois qu</w:t>
      </w:r>
      <w:r w:rsidR="00EA0269" w:rsidRPr="005340E1">
        <w:rPr>
          <w:rFonts w:ascii="Arial" w:hAnsi="Arial" w:cs="Arial"/>
          <w:sz w:val="22"/>
          <w:szCs w:val="22"/>
          <w:lang w:val="fr-CA"/>
        </w:rPr>
        <w:t xml:space="preserve">’une équipe </w:t>
      </w:r>
      <w:r w:rsidR="00EC2C77" w:rsidRPr="005340E1">
        <w:rPr>
          <w:rFonts w:ascii="Arial" w:hAnsi="Arial" w:cs="Arial"/>
          <w:sz w:val="22"/>
          <w:szCs w:val="22"/>
          <w:lang w:val="fr-CA"/>
        </w:rPr>
        <w:t>a atteint sa capacité</w:t>
      </w:r>
      <w:r w:rsidR="00EA0269" w:rsidRPr="005340E1">
        <w:rPr>
          <w:rFonts w:ascii="Arial" w:hAnsi="Arial" w:cs="Arial"/>
          <w:sz w:val="22"/>
          <w:szCs w:val="22"/>
          <w:lang w:val="fr-CA"/>
        </w:rPr>
        <w:t>, elle ne constitue plus une ressource pour la communauté</w:t>
      </w:r>
      <w:r w:rsidR="00A10933" w:rsidRPr="005340E1">
        <w:rPr>
          <w:rFonts w:ascii="Arial" w:hAnsi="Arial" w:cs="Arial"/>
          <w:sz w:val="22"/>
          <w:szCs w:val="22"/>
          <w:lang w:val="fr-CA"/>
        </w:rPr>
        <w:t>.</w:t>
      </w:r>
      <w:r w:rsidR="00A10933" w:rsidRPr="005340E1">
        <w:rPr>
          <w:rStyle w:val="FootnoteReference"/>
          <w:rFonts w:ascii="Arial" w:hAnsi="Arial" w:cs="Arial"/>
          <w:sz w:val="22"/>
          <w:szCs w:val="22"/>
          <w:lang w:val="fr-CA"/>
        </w:rPr>
        <w:footnoteReference w:id="4"/>
      </w:r>
      <w:r w:rsidR="00A10933" w:rsidRPr="005340E1">
        <w:rPr>
          <w:rFonts w:ascii="Arial" w:hAnsi="Arial" w:cs="Arial"/>
          <w:sz w:val="22"/>
          <w:szCs w:val="22"/>
          <w:vertAlign w:val="superscript"/>
          <w:lang w:val="fr-CA"/>
        </w:rPr>
        <w:t>,</w:t>
      </w:r>
      <w:r w:rsidR="00A10933" w:rsidRPr="005340E1">
        <w:rPr>
          <w:rStyle w:val="FootnoteReference"/>
          <w:rFonts w:ascii="Arial" w:hAnsi="Arial" w:cs="Arial"/>
          <w:sz w:val="22"/>
          <w:szCs w:val="22"/>
          <w:lang w:val="fr-CA"/>
        </w:rPr>
        <w:footnoteReference w:id="5"/>
      </w:r>
      <w:r w:rsidR="00A10933" w:rsidRPr="005340E1">
        <w:rPr>
          <w:rFonts w:ascii="Arial" w:hAnsi="Arial" w:cs="Arial"/>
          <w:sz w:val="22"/>
          <w:szCs w:val="22"/>
          <w:lang w:val="fr-CA"/>
        </w:rPr>
        <w:t xml:space="preserve"> </w:t>
      </w:r>
      <w:r w:rsidR="004179C7" w:rsidRPr="005340E1">
        <w:rPr>
          <w:rFonts w:ascii="Arial" w:hAnsi="Arial" w:cs="Arial"/>
          <w:sz w:val="22"/>
          <w:szCs w:val="22"/>
          <w:lang w:val="fr-CA"/>
        </w:rPr>
        <w:t xml:space="preserve">Cela </w:t>
      </w:r>
      <w:r w:rsidR="00D26795">
        <w:rPr>
          <w:rFonts w:ascii="Arial" w:hAnsi="Arial" w:cs="Arial"/>
          <w:sz w:val="22"/>
          <w:szCs w:val="22"/>
          <w:lang w:val="fr-CA"/>
        </w:rPr>
        <w:t>pose</w:t>
      </w:r>
      <w:r w:rsidR="004179C7" w:rsidRPr="005340E1">
        <w:rPr>
          <w:rFonts w:ascii="Arial" w:hAnsi="Arial" w:cs="Arial"/>
          <w:sz w:val="22"/>
          <w:szCs w:val="22"/>
          <w:lang w:val="fr-CA"/>
        </w:rPr>
        <w:t xml:space="preserve"> </w:t>
      </w:r>
      <w:r w:rsidR="00D26795">
        <w:rPr>
          <w:rFonts w:ascii="Arial" w:hAnsi="Arial" w:cs="Arial"/>
          <w:sz w:val="22"/>
          <w:szCs w:val="22"/>
          <w:lang w:val="fr-CA"/>
        </w:rPr>
        <w:t xml:space="preserve">donc </w:t>
      </w:r>
      <w:r w:rsidR="004179C7" w:rsidRPr="005340E1">
        <w:rPr>
          <w:rFonts w:ascii="Arial" w:hAnsi="Arial" w:cs="Arial"/>
          <w:sz w:val="22"/>
          <w:szCs w:val="22"/>
          <w:lang w:val="fr-CA"/>
        </w:rPr>
        <w:t>un problème significatif</w:t>
      </w:r>
      <w:r w:rsidR="00C24B40" w:rsidRPr="005340E1">
        <w:rPr>
          <w:rFonts w:ascii="Arial" w:hAnsi="Arial" w:cs="Arial"/>
          <w:sz w:val="22"/>
          <w:szCs w:val="22"/>
          <w:lang w:val="fr-CA"/>
        </w:rPr>
        <w:t>, parce que dans la plupart des communautés</w:t>
      </w:r>
      <w:r w:rsidR="00D26795">
        <w:rPr>
          <w:rFonts w:ascii="Arial" w:hAnsi="Arial" w:cs="Arial"/>
          <w:sz w:val="22"/>
          <w:szCs w:val="22"/>
          <w:lang w:val="fr-CA"/>
        </w:rPr>
        <w:t>,</w:t>
      </w:r>
      <w:r w:rsidR="004179C7" w:rsidRPr="005340E1">
        <w:rPr>
          <w:rFonts w:ascii="Arial" w:hAnsi="Arial" w:cs="Arial"/>
          <w:sz w:val="22"/>
          <w:szCs w:val="22"/>
          <w:lang w:val="fr-CA"/>
        </w:rPr>
        <w:t xml:space="preserve"> l</w:t>
      </w:r>
      <w:r w:rsidR="00C24B40" w:rsidRPr="005340E1">
        <w:rPr>
          <w:rFonts w:ascii="Arial" w:hAnsi="Arial" w:cs="Arial"/>
          <w:sz w:val="22"/>
          <w:szCs w:val="22"/>
          <w:lang w:val="fr-CA"/>
        </w:rPr>
        <w:t>a capacité d</w:t>
      </w:r>
      <w:r w:rsidR="004179C7" w:rsidRPr="005340E1">
        <w:rPr>
          <w:rFonts w:ascii="Arial" w:hAnsi="Arial" w:cs="Arial"/>
          <w:sz w:val="22"/>
          <w:szCs w:val="22"/>
          <w:lang w:val="fr-CA"/>
        </w:rPr>
        <w:t xml:space="preserve">es SCTI ne </w:t>
      </w:r>
      <w:r w:rsidR="00C24B40" w:rsidRPr="005340E1">
        <w:rPr>
          <w:rFonts w:ascii="Arial" w:hAnsi="Arial" w:cs="Arial"/>
          <w:sz w:val="22"/>
          <w:szCs w:val="22"/>
          <w:lang w:val="fr-CA"/>
        </w:rPr>
        <w:t xml:space="preserve">répond pas à la demande et beaucoup de personnes qui pourraient bénéficier </w:t>
      </w:r>
      <w:r w:rsidR="00D26795">
        <w:rPr>
          <w:rFonts w:ascii="Arial" w:hAnsi="Arial" w:cs="Arial"/>
          <w:sz w:val="22"/>
          <w:szCs w:val="22"/>
          <w:lang w:val="fr-CA"/>
        </w:rPr>
        <w:t xml:space="preserve">des </w:t>
      </w:r>
      <w:r w:rsidR="00C24B40" w:rsidRPr="005340E1">
        <w:rPr>
          <w:rFonts w:ascii="Arial" w:hAnsi="Arial" w:cs="Arial"/>
          <w:sz w:val="22"/>
          <w:szCs w:val="22"/>
          <w:lang w:val="fr-CA"/>
        </w:rPr>
        <w:t xml:space="preserve">SCTI </w:t>
      </w:r>
      <w:r w:rsidR="00967B5C" w:rsidRPr="005340E1">
        <w:rPr>
          <w:rFonts w:ascii="Arial" w:hAnsi="Arial" w:cs="Arial"/>
          <w:sz w:val="22"/>
          <w:szCs w:val="22"/>
          <w:lang w:val="fr-CA"/>
        </w:rPr>
        <w:t>se voient refuser l’accès à ces services</w:t>
      </w:r>
      <w:r w:rsidR="00A10933" w:rsidRPr="005340E1">
        <w:rPr>
          <w:rFonts w:ascii="Arial" w:hAnsi="Arial" w:cs="Arial"/>
          <w:sz w:val="22"/>
          <w:szCs w:val="22"/>
          <w:lang w:val="fr-CA"/>
        </w:rPr>
        <w:t>.</w:t>
      </w:r>
      <w:r w:rsidR="00A10933" w:rsidRPr="005340E1">
        <w:rPr>
          <w:rStyle w:val="FootnoteReference"/>
          <w:rFonts w:ascii="Arial" w:hAnsi="Arial" w:cs="Arial"/>
          <w:sz w:val="22"/>
          <w:szCs w:val="22"/>
          <w:lang w:val="fr-CA"/>
        </w:rPr>
        <w:footnoteReference w:id="6"/>
      </w:r>
      <w:r w:rsidR="00A10933" w:rsidRPr="005340E1">
        <w:rPr>
          <w:rFonts w:ascii="Arial" w:hAnsi="Arial" w:cs="Arial"/>
          <w:sz w:val="22"/>
          <w:szCs w:val="22"/>
          <w:lang w:val="fr-CA"/>
        </w:rPr>
        <w:t xml:space="preserve"> </w:t>
      </w:r>
      <w:r w:rsidR="00C24B40" w:rsidRPr="005340E1">
        <w:rPr>
          <w:rFonts w:ascii="Arial" w:hAnsi="Arial" w:cs="Arial"/>
          <w:sz w:val="22"/>
          <w:szCs w:val="22"/>
          <w:lang w:val="fr-CA"/>
        </w:rPr>
        <w:t xml:space="preserve">Beaucoup d’équipes règlent ce problème de </w:t>
      </w:r>
      <w:r w:rsidR="00A4111F" w:rsidRPr="005340E1">
        <w:rPr>
          <w:rFonts w:ascii="Arial" w:hAnsi="Arial" w:cs="Arial"/>
          <w:sz w:val="22"/>
          <w:szCs w:val="22"/>
          <w:lang w:val="fr-CA"/>
        </w:rPr>
        <w:t xml:space="preserve">discordance entre la capacité et la demande </w:t>
      </w:r>
      <w:r w:rsidR="00C24B40" w:rsidRPr="005340E1">
        <w:rPr>
          <w:rFonts w:ascii="Arial" w:hAnsi="Arial" w:cs="Arial"/>
          <w:sz w:val="22"/>
          <w:szCs w:val="22"/>
          <w:lang w:val="fr-CA"/>
        </w:rPr>
        <w:t>en</w:t>
      </w:r>
      <w:r w:rsidR="00A4111F" w:rsidRPr="005340E1">
        <w:rPr>
          <w:rFonts w:ascii="Arial" w:hAnsi="Arial" w:cs="Arial"/>
          <w:sz w:val="22"/>
          <w:szCs w:val="22"/>
          <w:lang w:val="fr-CA"/>
        </w:rPr>
        <w:t xml:space="preserve"> poussant leurs clients à faire</w:t>
      </w:r>
      <w:r w:rsidR="00C24B40" w:rsidRPr="005340E1">
        <w:rPr>
          <w:rFonts w:ascii="Arial" w:hAnsi="Arial" w:cs="Arial"/>
          <w:sz w:val="22"/>
          <w:szCs w:val="22"/>
          <w:lang w:val="fr-CA"/>
        </w:rPr>
        <w:t xml:space="preserve"> </w:t>
      </w:r>
      <w:r w:rsidR="00967B5C" w:rsidRPr="005340E1">
        <w:rPr>
          <w:rFonts w:ascii="Arial" w:hAnsi="Arial" w:cs="Arial"/>
          <w:sz w:val="22"/>
          <w:szCs w:val="22"/>
          <w:lang w:val="fr-CA"/>
        </w:rPr>
        <w:t>la transition ver</w:t>
      </w:r>
      <w:r w:rsidR="00A4111F" w:rsidRPr="005340E1">
        <w:rPr>
          <w:rFonts w:ascii="Arial" w:hAnsi="Arial" w:cs="Arial"/>
          <w:sz w:val="22"/>
          <w:szCs w:val="22"/>
          <w:lang w:val="fr-CA"/>
        </w:rPr>
        <w:t>s des services moins intensifs.</w:t>
      </w:r>
    </w:p>
    <w:p w14:paraId="32555F0E" w14:textId="3D44CD3A" w:rsidR="00A10933" w:rsidRPr="005340E1" w:rsidRDefault="00EC2C77" w:rsidP="00A10933">
      <w:pPr>
        <w:spacing w:after="120"/>
        <w:ind w:firstLine="360"/>
        <w:rPr>
          <w:rFonts w:ascii="Arial" w:hAnsi="Arial" w:cs="Arial"/>
          <w:sz w:val="22"/>
          <w:szCs w:val="22"/>
          <w:lang w:val="fr-CA"/>
        </w:rPr>
      </w:pPr>
      <w:r w:rsidRPr="005340E1">
        <w:rPr>
          <w:rFonts w:ascii="Arial" w:hAnsi="Arial" w:cs="Arial"/>
          <w:sz w:val="22"/>
          <w:szCs w:val="22"/>
          <w:lang w:val="fr-CA"/>
        </w:rPr>
        <w:t>Peu</w:t>
      </w:r>
      <w:r w:rsidR="00EC4BEB" w:rsidRPr="005340E1">
        <w:rPr>
          <w:rFonts w:ascii="Arial" w:hAnsi="Arial" w:cs="Arial"/>
          <w:sz w:val="22"/>
          <w:szCs w:val="22"/>
          <w:lang w:val="fr-CA"/>
        </w:rPr>
        <w:t xml:space="preserve"> d’études ont examiné les transitions des personnes atteintes d’une maladie mentale grave des SCTI vers des services moins intensifs. </w:t>
      </w:r>
      <w:r w:rsidR="00AB70B1" w:rsidRPr="005340E1">
        <w:rPr>
          <w:rFonts w:ascii="Arial" w:hAnsi="Arial" w:cs="Arial"/>
          <w:sz w:val="22"/>
          <w:szCs w:val="22"/>
          <w:lang w:val="fr-CA"/>
        </w:rPr>
        <w:t>Plusieurs études expérimentales suggèrent que</w:t>
      </w:r>
      <w:r w:rsidR="00EC4BEB" w:rsidRPr="005340E1">
        <w:rPr>
          <w:rFonts w:ascii="Arial" w:hAnsi="Arial" w:cs="Arial"/>
          <w:sz w:val="22"/>
          <w:szCs w:val="22"/>
          <w:lang w:val="fr-CA"/>
        </w:rPr>
        <w:t xml:space="preserve"> les clients ne devraient pas faire la transition des SCTI. </w:t>
      </w:r>
      <w:r w:rsidR="00AB70B1" w:rsidRPr="005340E1">
        <w:rPr>
          <w:rFonts w:ascii="Arial" w:hAnsi="Arial" w:cs="Arial"/>
          <w:sz w:val="22"/>
          <w:szCs w:val="22"/>
          <w:lang w:val="fr-CA"/>
        </w:rPr>
        <w:t xml:space="preserve">Par exemple, dans l’étude d’origine </w:t>
      </w:r>
      <w:r w:rsidR="00EC4BEB" w:rsidRPr="005340E1">
        <w:rPr>
          <w:rFonts w:ascii="Arial" w:hAnsi="Arial" w:cs="Arial"/>
          <w:sz w:val="22"/>
          <w:szCs w:val="22"/>
          <w:lang w:val="fr-CA"/>
        </w:rPr>
        <w:t xml:space="preserve">sur les SCTI effectuée </w:t>
      </w:r>
      <w:r w:rsidR="00AB70B1" w:rsidRPr="005340E1">
        <w:rPr>
          <w:rFonts w:ascii="Arial" w:hAnsi="Arial" w:cs="Arial"/>
          <w:sz w:val="22"/>
          <w:szCs w:val="22"/>
          <w:lang w:val="fr-CA"/>
        </w:rPr>
        <w:t xml:space="preserve">par </w:t>
      </w:r>
      <w:r w:rsidR="00A10933" w:rsidRPr="005340E1">
        <w:rPr>
          <w:rFonts w:ascii="Arial" w:hAnsi="Arial" w:cs="Arial"/>
          <w:sz w:val="22"/>
          <w:szCs w:val="22"/>
          <w:lang w:val="fr-CA"/>
        </w:rPr>
        <w:t xml:space="preserve">Stein </w:t>
      </w:r>
      <w:r w:rsidR="00AB70B1" w:rsidRPr="005340E1">
        <w:rPr>
          <w:rFonts w:ascii="Arial" w:hAnsi="Arial" w:cs="Arial"/>
          <w:sz w:val="22"/>
          <w:szCs w:val="22"/>
          <w:lang w:val="fr-CA"/>
        </w:rPr>
        <w:t>et</w:t>
      </w:r>
      <w:r w:rsidR="00A10933" w:rsidRPr="005340E1">
        <w:rPr>
          <w:rFonts w:ascii="Arial" w:hAnsi="Arial" w:cs="Arial"/>
          <w:sz w:val="22"/>
          <w:szCs w:val="22"/>
          <w:lang w:val="fr-CA"/>
        </w:rPr>
        <w:t xml:space="preserve"> Test, </w:t>
      </w:r>
      <w:r w:rsidR="00AB70B1" w:rsidRPr="005340E1">
        <w:rPr>
          <w:rFonts w:ascii="Arial" w:hAnsi="Arial" w:cs="Arial"/>
          <w:sz w:val="22"/>
          <w:szCs w:val="22"/>
          <w:lang w:val="fr-CA"/>
        </w:rPr>
        <w:t>dans les 14 mois suivant la transition des soins habituels</w:t>
      </w:r>
      <w:r w:rsidR="00EC4BEB" w:rsidRPr="005340E1">
        <w:rPr>
          <w:rFonts w:ascii="Arial" w:hAnsi="Arial" w:cs="Arial"/>
          <w:sz w:val="22"/>
          <w:szCs w:val="22"/>
          <w:lang w:val="fr-CA"/>
        </w:rPr>
        <w:t xml:space="preserve">, les anciens clients des SCTI qui avaient été </w:t>
      </w:r>
      <w:r w:rsidR="00E14217" w:rsidRPr="005340E1">
        <w:rPr>
          <w:rFonts w:ascii="Arial" w:hAnsi="Arial" w:cs="Arial"/>
          <w:sz w:val="22"/>
          <w:szCs w:val="22"/>
          <w:lang w:val="fr-CA"/>
        </w:rPr>
        <w:t xml:space="preserve">choisis de façon aléatoire pour faire la transition vers des services moins intensifs </w:t>
      </w:r>
      <w:r w:rsidR="00871F02" w:rsidRPr="005340E1">
        <w:rPr>
          <w:rFonts w:ascii="Arial" w:hAnsi="Arial" w:cs="Arial"/>
          <w:sz w:val="22"/>
          <w:szCs w:val="22"/>
          <w:lang w:val="fr-CA"/>
        </w:rPr>
        <w:t>avaient repris les mêmes tendances de fonctionnement et d’hospitalisation que lorsqu</w:t>
      </w:r>
      <w:r w:rsidR="00520A12" w:rsidRPr="005340E1">
        <w:rPr>
          <w:rFonts w:ascii="Arial" w:hAnsi="Arial" w:cs="Arial"/>
          <w:sz w:val="22"/>
          <w:szCs w:val="22"/>
          <w:lang w:val="fr-CA"/>
        </w:rPr>
        <w:t>’ils ne recevaient pas de SCTI</w:t>
      </w:r>
      <w:r w:rsidR="00A10933" w:rsidRPr="005340E1">
        <w:rPr>
          <w:rFonts w:ascii="Arial" w:hAnsi="Arial" w:cs="Arial"/>
          <w:sz w:val="22"/>
          <w:szCs w:val="22"/>
          <w:lang w:val="fr-CA"/>
        </w:rPr>
        <w:t>.</w:t>
      </w:r>
      <w:r w:rsidR="00A10933" w:rsidRPr="005340E1">
        <w:rPr>
          <w:rStyle w:val="FootnoteReference"/>
          <w:rFonts w:ascii="Arial" w:hAnsi="Arial" w:cs="Arial"/>
          <w:sz w:val="22"/>
          <w:szCs w:val="22"/>
          <w:lang w:val="fr-CA"/>
        </w:rPr>
        <w:footnoteReference w:id="7"/>
      </w:r>
      <w:r w:rsidR="00EC4BEB" w:rsidRPr="005340E1">
        <w:rPr>
          <w:rFonts w:ascii="Arial" w:hAnsi="Arial" w:cs="Arial"/>
          <w:sz w:val="22"/>
          <w:szCs w:val="22"/>
          <w:lang w:val="fr-CA"/>
        </w:rPr>
        <w:t xml:space="preserve"> Une autre étude indique une augmentation de 67 % </w:t>
      </w:r>
      <w:r w:rsidR="00DD67E8" w:rsidRPr="005340E1">
        <w:rPr>
          <w:rFonts w:ascii="Arial" w:hAnsi="Arial" w:cs="Arial"/>
          <w:sz w:val="22"/>
          <w:szCs w:val="22"/>
          <w:lang w:val="fr-CA"/>
        </w:rPr>
        <w:t>des</w:t>
      </w:r>
      <w:r w:rsidR="00AF7B3B" w:rsidRPr="005340E1">
        <w:rPr>
          <w:rFonts w:ascii="Arial" w:hAnsi="Arial" w:cs="Arial"/>
          <w:sz w:val="22"/>
          <w:szCs w:val="22"/>
          <w:lang w:val="fr-CA"/>
        </w:rPr>
        <w:t xml:space="preserve"> journées d’h</w:t>
      </w:r>
      <w:r w:rsidR="00DD67E8" w:rsidRPr="005340E1">
        <w:rPr>
          <w:rFonts w:ascii="Arial" w:hAnsi="Arial" w:cs="Arial"/>
          <w:sz w:val="22"/>
          <w:szCs w:val="22"/>
          <w:lang w:val="fr-CA"/>
        </w:rPr>
        <w:t xml:space="preserve">ospitalisation </w:t>
      </w:r>
      <w:r w:rsidR="00D727B0" w:rsidRPr="005340E1">
        <w:rPr>
          <w:rFonts w:ascii="Arial" w:hAnsi="Arial" w:cs="Arial"/>
          <w:sz w:val="22"/>
          <w:szCs w:val="22"/>
          <w:lang w:val="fr-CA"/>
        </w:rPr>
        <w:t>chez les clients</w:t>
      </w:r>
      <w:r w:rsidR="00E14217" w:rsidRPr="005340E1">
        <w:rPr>
          <w:rFonts w:ascii="Arial" w:hAnsi="Arial" w:cs="Arial"/>
          <w:sz w:val="22"/>
          <w:szCs w:val="22"/>
          <w:lang w:val="fr-CA"/>
        </w:rPr>
        <w:t xml:space="preserve"> choisis de façon aléatoire pour faire la transition vers des services de gestion de cas </w:t>
      </w:r>
      <w:r w:rsidR="005340E1" w:rsidRPr="005340E1">
        <w:rPr>
          <w:rFonts w:ascii="Arial" w:hAnsi="Arial" w:cs="Arial"/>
          <w:sz w:val="22"/>
          <w:szCs w:val="22"/>
          <w:lang w:val="fr-CA"/>
        </w:rPr>
        <w:t>standard</w:t>
      </w:r>
      <w:r w:rsidR="00E14217" w:rsidRPr="005340E1">
        <w:rPr>
          <w:rFonts w:ascii="Arial" w:hAnsi="Arial" w:cs="Arial"/>
          <w:sz w:val="22"/>
          <w:szCs w:val="22"/>
          <w:lang w:val="fr-CA"/>
        </w:rPr>
        <w:t xml:space="preserve">. </w:t>
      </w:r>
      <w:r w:rsidR="00D727B0" w:rsidRPr="005340E1">
        <w:rPr>
          <w:rFonts w:ascii="Arial" w:hAnsi="Arial" w:cs="Arial"/>
          <w:sz w:val="22"/>
          <w:szCs w:val="22"/>
          <w:lang w:val="fr-CA"/>
        </w:rPr>
        <w:t xml:space="preserve">Une troisième étude indique une augmentation des hospitalisations </w:t>
      </w:r>
      <w:r w:rsidR="00EA0269" w:rsidRPr="005340E1">
        <w:rPr>
          <w:rFonts w:ascii="Arial" w:hAnsi="Arial" w:cs="Arial"/>
          <w:sz w:val="22"/>
          <w:szCs w:val="22"/>
          <w:lang w:val="fr-CA"/>
        </w:rPr>
        <w:t>et une perte en gains cliniques chez les clients</w:t>
      </w:r>
      <w:r w:rsidR="00520A12" w:rsidRPr="005340E1">
        <w:rPr>
          <w:rFonts w:ascii="Arial" w:hAnsi="Arial" w:cs="Arial"/>
          <w:sz w:val="22"/>
          <w:szCs w:val="22"/>
          <w:lang w:val="fr-CA"/>
        </w:rPr>
        <w:t xml:space="preserve"> choisis de façon aléatoire pour </w:t>
      </w:r>
      <w:r w:rsidR="00E47F4D" w:rsidRPr="005340E1">
        <w:rPr>
          <w:rFonts w:ascii="Arial" w:hAnsi="Arial" w:cs="Arial"/>
          <w:sz w:val="22"/>
          <w:szCs w:val="22"/>
          <w:lang w:val="fr-CA"/>
        </w:rPr>
        <w:t>se faire couper les services intensifs à domicile (du type des SCTI)</w:t>
      </w:r>
      <w:r w:rsidR="00A10933" w:rsidRPr="005340E1">
        <w:rPr>
          <w:rFonts w:ascii="Arial" w:hAnsi="Arial" w:cs="Arial"/>
          <w:sz w:val="22"/>
          <w:szCs w:val="22"/>
          <w:lang w:val="fr-CA"/>
        </w:rPr>
        <w:t>.</w:t>
      </w:r>
      <w:r w:rsidR="00A10933" w:rsidRPr="005340E1">
        <w:rPr>
          <w:rStyle w:val="FootnoteReference"/>
          <w:rFonts w:ascii="Arial" w:hAnsi="Arial" w:cs="Arial"/>
          <w:sz w:val="22"/>
          <w:szCs w:val="22"/>
          <w:lang w:val="fr-CA"/>
        </w:rPr>
        <w:footnoteReference w:id="8"/>
      </w:r>
      <w:r w:rsidR="00A10933" w:rsidRPr="005340E1">
        <w:rPr>
          <w:rFonts w:ascii="Arial" w:hAnsi="Arial" w:cs="Arial"/>
          <w:sz w:val="22"/>
          <w:szCs w:val="22"/>
          <w:vertAlign w:val="superscript"/>
          <w:lang w:val="fr-CA"/>
        </w:rPr>
        <w:t>,</w:t>
      </w:r>
      <w:r w:rsidR="00A10933" w:rsidRPr="005340E1">
        <w:rPr>
          <w:rStyle w:val="FootnoteReference"/>
          <w:rFonts w:ascii="Arial" w:hAnsi="Arial" w:cs="Arial"/>
          <w:sz w:val="22"/>
          <w:szCs w:val="22"/>
          <w:lang w:val="fr-CA"/>
        </w:rPr>
        <w:footnoteReference w:id="9"/>
      </w:r>
    </w:p>
    <w:p w14:paraId="102C6359" w14:textId="4CF51C06" w:rsidR="00A10933" w:rsidRPr="005340E1" w:rsidRDefault="00AB70B1" w:rsidP="00A10933">
      <w:pPr>
        <w:spacing w:after="120"/>
        <w:ind w:firstLine="360"/>
        <w:rPr>
          <w:rFonts w:ascii="Arial" w:hAnsi="Arial" w:cs="Arial"/>
          <w:sz w:val="22"/>
          <w:szCs w:val="22"/>
          <w:vertAlign w:val="superscript"/>
          <w:lang w:val="fr-CA"/>
        </w:rPr>
      </w:pPr>
      <w:r w:rsidRPr="005340E1">
        <w:rPr>
          <w:rFonts w:ascii="Arial" w:hAnsi="Arial" w:cs="Arial"/>
          <w:sz w:val="22"/>
          <w:szCs w:val="22"/>
          <w:lang w:val="fr-CA"/>
        </w:rPr>
        <w:t xml:space="preserve">D’autres études, bien que moins probantes, laissent entendre que </w:t>
      </w:r>
      <w:r w:rsidR="00EA0269" w:rsidRPr="005340E1">
        <w:rPr>
          <w:rFonts w:ascii="Arial" w:hAnsi="Arial" w:cs="Arial"/>
          <w:sz w:val="22"/>
          <w:szCs w:val="22"/>
          <w:lang w:val="fr-CA"/>
        </w:rPr>
        <w:t xml:space="preserve">les clients des SCTI peuvent faire la transition vers des services moins intensifs. Par exemple, </w:t>
      </w:r>
      <w:r w:rsidR="00520A12" w:rsidRPr="005340E1">
        <w:rPr>
          <w:rFonts w:ascii="Arial" w:hAnsi="Arial" w:cs="Arial"/>
          <w:sz w:val="22"/>
          <w:szCs w:val="22"/>
          <w:lang w:val="fr-CA"/>
        </w:rPr>
        <w:t>u</w:t>
      </w:r>
      <w:r w:rsidR="00EA0269" w:rsidRPr="005340E1">
        <w:rPr>
          <w:rFonts w:ascii="Arial" w:hAnsi="Arial" w:cs="Arial"/>
          <w:sz w:val="22"/>
          <w:szCs w:val="22"/>
          <w:lang w:val="fr-CA"/>
        </w:rPr>
        <w:t>n</w:t>
      </w:r>
      <w:r w:rsidR="00520A12" w:rsidRPr="005340E1">
        <w:rPr>
          <w:rFonts w:ascii="Arial" w:hAnsi="Arial" w:cs="Arial"/>
          <w:sz w:val="22"/>
          <w:szCs w:val="22"/>
          <w:lang w:val="fr-CA"/>
        </w:rPr>
        <w:t xml:space="preserve"> examen rétrospectif des dossiers a démontré que les </w:t>
      </w:r>
      <w:r w:rsidR="00EA0269" w:rsidRPr="005340E1">
        <w:rPr>
          <w:rFonts w:ascii="Arial" w:hAnsi="Arial" w:cs="Arial"/>
          <w:sz w:val="22"/>
          <w:szCs w:val="22"/>
          <w:lang w:val="fr-CA"/>
        </w:rPr>
        <w:t>clients des SCTI qui ont fait cette transition avaient obtenu de meilleurs résultats</w:t>
      </w:r>
      <w:r w:rsidR="00520A12" w:rsidRPr="005340E1">
        <w:rPr>
          <w:rFonts w:ascii="Arial" w:hAnsi="Arial" w:cs="Arial"/>
          <w:sz w:val="22"/>
          <w:szCs w:val="22"/>
          <w:lang w:val="fr-CA"/>
        </w:rPr>
        <w:t xml:space="preserve"> que les clients qui n’</w:t>
      </w:r>
      <w:r w:rsidR="00EA0269" w:rsidRPr="005340E1">
        <w:rPr>
          <w:rFonts w:ascii="Arial" w:hAnsi="Arial" w:cs="Arial"/>
          <w:sz w:val="22"/>
          <w:szCs w:val="22"/>
          <w:lang w:val="fr-CA"/>
        </w:rPr>
        <w:t>avaient pas fait la transition; toutefois, ceux qui avaient réussi la transition fonctionnaient à un niveau supérieure</w:t>
      </w:r>
      <w:r w:rsidR="003C41E9" w:rsidRPr="005340E1">
        <w:rPr>
          <w:rFonts w:ascii="Arial" w:hAnsi="Arial" w:cs="Arial"/>
          <w:sz w:val="22"/>
          <w:szCs w:val="22"/>
          <w:lang w:val="fr-CA"/>
        </w:rPr>
        <w:t xml:space="preserve"> avant de faire la transition que ceux qui ont continué de recevoir les SCTI</w:t>
      </w:r>
      <w:r w:rsidR="00A10933" w:rsidRPr="005340E1">
        <w:rPr>
          <w:rFonts w:ascii="Arial" w:hAnsi="Arial" w:cs="Arial"/>
          <w:sz w:val="22"/>
          <w:szCs w:val="22"/>
          <w:lang w:val="fr-CA"/>
        </w:rPr>
        <w:t>.</w:t>
      </w:r>
      <w:r w:rsidR="00A10933" w:rsidRPr="005340E1">
        <w:rPr>
          <w:rStyle w:val="FootnoteReference"/>
          <w:rFonts w:ascii="Arial" w:hAnsi="Arial" w:cs="Arial"/>
          <w:sz w:val="22"/>
          <w:szCs w:val="22"/>
          <w:lang w:val="fr-CA"/>
        </w:rPr>
        <w:footnoteReference w:id="10"/>
      </w:r>
      <w:r w:rsidR="004D59D9" w:rsidRPr="005340E1">
        <w:rPr>
          <w:rFonts w:ascii="Arial" w:hAnsi="Arial" w:cs="Arial"/>
          <w:sz w:val="22"/>
          <w:szCs w:val="22"/>
          <w:lang w:val="fr-CA"/>
        </w:rPr>
        <w:t xml:space="preserve"> </w:t>
      </w:r>
      <w:r w:rsidR="00967B5C" w:rsidRPr="005340E1">
        <w:rPr>
          <w:rFonts w:ascii="Arial" w:hAnsi="Arial" w:cs="Arial"/>
          <w:sz w:val="22"/>
          <w:szCs w:val="22"/>
          <w:lang w:val="fr-CA"/>
        </w:rPr>
        <w:t xml:space="preserve">Par ailleurs, deux études </w:t>
      </w:r>
      <w:r w:rsidR="00323010" w:rsidRPr="005340E1">
        <w:rPr>
          <w:rFonts w:ascii="Arial" w:hAnsi="Arial" w:cs="Arial"/>
          <w:sz w:val="22"/>
          <w:szCs w:val="22"/>
          <w:lang w:val="fr-CA"/>
        </w:rPr>
        <w:t>quasi-expé</w:t>
      </w:r>
      <w:r w:rsidR="00A10933" w:rsidRPr="005340E1">
        <w:rPr>
          <w:rFonts w:ascii="Arial" w:hAnsi="Arial" w:cs="Arial"/>
          <w:sz w:val="22"/>
          <w:szCs w:val="22"/>
          <w:lang w:val="fr-CA"/>
        </w:rPr>
        <w:t>rimental</w:t>
      </w:r>
      <w:r w:rsidR="00323010" w:rsidRPr="005340E1">
        <w:rPr>
          <w:rFonts w:ascii="Arial" w:hAnsi="Arial" w:cs="Arial"/>
          <w:sz w:val="22"/>
          <w:szCs w:val="22"/>
          <w:lang w:val="fr-CA"/>
        </w:rPr>
        <w:t>es</w:t>
      </w:r>
      <w:r w:rsidR="00A10933" w:rsidRPr="005340E1">
        <w:rPr>
          <w:rFonts w:ascii="Arial" w:hAnsi="Arial" w:cs="Arial"/>
          <w:sz w:val="22"/>
          <w:szCs w:val="22"/>
          <w:lang w:val="fr-CA"/>
        </w:rPr>
        <w:t xml:space="preserve"> </w:t>
      </w:r>
      <w:r w:rsidR="003C41E9" w:rsidRPr="005340E1">
        <w:rPr>
          <w:rFonts w:ascii="Arial" w:hAnsi="Arial" w:cs="Arial"/>
          <w:sz w:val="22"/>
          <w:szCs w:val="22"/>
          <w:lang w:val="fr-CA"/>
        </w:rPr>
        <w:t xml:space="preserve">comparaient les résultats de logement chez les clients qui avaient reçu </w:t>
      </w:r>
      <w:r w:rsidR="00DA6177" w:rsidRPr="005340E1">
        <w:rPr>
          <w:rFonts w:ascii="Arial" w:hAnsi="Arial" w:cs="Arial"/>
          <w:sz w:val="22"/>
          <w:szCs w:val="22"/>
          <w:lang w:val="fr-CA"/>
        </w:rPr>
        <w:t xml:space="preserve">des </w:t>
      </w:r>
      <w:r w:rsidR="00DA6177" w:rsidRPr="005340E1">
        <w:rPr>
          <w:rFonts w:ascii="Arial" w:hAnsi="Arial" w:cs="Arial"/>
          <w:sz w:val="22"/>
          <w:szCs w:val="22"/>
          <w:lang w:val="fr-CA"/>
        </w:rPr>
        <w:lastRenderedPageBreak/>
        <w:t xml:space="preserve">services de gestion de cas </w:t>
      </w:r>
      <w:r w:rsidR="00033ECB" w:rsidRPr="005340E1">
        <w:rPr>
          <w:rFonts w:ascii="Arial" w:hAnsi="Arial" w:cs="Arial"/>
          <w:sz w:val="22"/>
          <w:szCs w:val="22"/>
          <w:lang w:val="fr-CA"/>
        </w:rPr>
        <w:t xml:space="preserve">intensifs limités dans le temps </w:t>
      </w:r>
      <w:r w:rsidR="003C41E9" w:rsidRPr="005340E1">
        <w:rPr>
          <w:rFonts w:ascii="Arial" w:hAnsi="Arial" w:cs="Arial"/>
          <w:sz w:val="22"/>
          <w:szCs w:val="22"/>
          <w:lang w:val="fr-CA"/>
        </w:rPr>
        <w:t xml:space="preserve">et les clients qui avaient reçus des soins habituels, et cette étude démontre que </w:t>
      </w:r>
      <w:r w:rsidR="00670A03" w:rsidRPr="005340E1">
        <w:rPr>
          <w:rFonts w:ascii="Arial" w:hAnsi="Arial" w:cs="Arial"/>
          <w:sz w:val="22"/>
          <w:szCs w:val="22"/>
          <w:lang w:val="fr-CA"/>
        </w:rPr>
        <w:t xml:space="preserve">les services de gestion de cas intensifs limités dans le temps </w:t>
      </w:r>
      <w:r w:rsidR="00503F42" w:rsidRPr="005340E1">
        <w:rPr>
          <w:rFonts w:ascii="Arial" w:hAnsi="Arial" w:cs="Arial"/>
          <w:sz w:val="22"/>
          <w:szCs w:val="22"/>
          <w:lang w:val="fr-CA"/>
        </w:rPr>
        <w:t xml:space="preserve">entraînent des effets </w:t>
      </w:r>
      <w:r w:rsidR="00670A03" w:rsidRPr="005340E1">
        <w:rPr>
          <w:rFonts w:ascii="Arial" w:hAnsi="Arial" w:cs="Arial"/>
          <w:sz w:val="22"/>
          <w:szCs w:val="22"/>
          <w:lang w:val="fr-CA"/>
        </w:rPr>
        <w:t>à long terme sur la situation de logement</w:t>
      </w:r>
      <w:r w:rsidR="00A10933" w:rsidRPr="005340E1">
        <w:rPr>
          <w:rFonts w:ascii="Arial" w:hAnsi="Arial" w:cs="Arial"/>
          <w:sz w:val="22"/>
          <w:szCs w:val="22"/>
          <w:lang w:val="fr-CA"/>
        </w:rPr>
        <w:t>;</w:t>
      </w:r>
      <w:r w:rsidR="00CF3F29" w:rsidRPr="005340E1">
        <w:rPr>
          <w:rFonts w:ascii="Arial" w:hAnsi="Arial" w:cs="Arial"/>
          <w:sz w:val="22"/>
          <w:szCs w:val="22"/>
          <w:lang w:val="fr-CA"/>
        </w:rPr>
        <w:t xml:space="preserve"> toutefois</w:t>
      </w:r>
      <w:r w:rsidR="00A10933" w:rsidRPr="005340E1">
        <w:rPr>
          <w:rFonts w:ascii="Arial" w:hAnsi="Arial" w:cs="Arial"/>
          <w:sz w:val="22"/>
          <w:szCs w:val="22"/>
          <w:lang w:val="fr-CA"/>
        </w:rPr>
        <w:t xml:space="preserve">, </w:t>
      </w:r>
      <w:r w:rsidR="00CF3F29" w:rsidRPr="005340E1">
        <w:rPr>
          <w:rFonts w:ascii="Arial" w:hAnsi="Arial" w:cs="Arial"/>
          <w:sz w:val="22"/>
          <w:szCs w:val="22"/>
          <w:lang w:val="fr-CA"/>
        </w:rPr>
        <w:t>les effets des hospitalisations</w:t>
      </w:r>
      <w:r w:rsidR="00F14A18" w:rsidRPr="005340E1">
        <w:rPr>
          <w:rFonts w:ascii="Arial" w:hAnsi="Arial" w:cs="Arial"/>
          <w:sz w:val="22"/>
          <w:szCs w:val="22"/>
          <w:lang w:val="fr-CA"/>
        </w:rPr>
        <w:t xml:space="preserve"> et d’autres indicateurs ont été omis</w:t>
      </w:r>
      <w:r w:rsidR="00A10933" w:rsidRPr="005340E1">
        <w:rPr>
          <w:rFonts w:ascii="Arial" w:hAnsi="Arial" w:cs="Arial"/>
          <w:sz w:val="22"/>
          <w:szCs w:val="22"/>
          <w:lang w:val="fr-CA"/>
        </w:rPr>
        <w:t>.</w:t>
      </w:r>
      <w:r w:rsidR="00A10933" w:rsidRPr="005340E1">
        <w:rPr>
          <w:rStyle w:val="FootnoteReference"/>
          <w:rFonts w:ascii="Arial" w:hAnsi="Arial" w:cs="Arial"/>
          <w:sz w:val="22"/>
          <w:szCs w:val="22"/>
          <w:lang w:val="fr-CA"/>
        </w:rPr>
        <w:footnoteReference w:id="11"/>
      </w:r>
      <w:r w:rsidR="00A10933" w:rsidRPr="005340E1">
        <w:rPr>
          <w:rFonts w:ascii="Arial" w:hAnsi="Arial" w:cs="Arial"/>
          <w:sz w:val="22"/>
          <w:szCs w:val="22"/>
          <w:vertAlign w:val="superscript"/>
          <w:lang w:val="fr-CA"/>
        </w:rPr>
        <w:t>,</w:t>
      </w:r>
      <w:r w:rsidR="00A10933" w:rsidRPr="005340E1">
        <w:rPr>
          <w:rStyle w:val="FootnoteReference"/>
          <w:rFonts w:ascii="Arial" w:hAnsi="Arial" w:cs="Arial"/>
          <w:sz w:val="22"/>
          <w:szCs w:val="22"/>
          <w:lang w:val="fr-CA"/>
        </w:rPr>
        <w:footnoteReference w:id="12"/>
      </w:r>
    </w:p>
    <w:p w14:paraId="11EBF6D8" w14:textId="77777777" w:rsidR="000A1B41" w:rsidRPr="005340E1" w:rsidRDefault="00C52B80" w:rsidP="000A1B41">
      <w:pPr>
        <w:spacing w:after="120"/>
        <w:rPr>
          <w:rFonts w:ascii="Arial" w:hAnsi="Arial" w:cs="Arial"/>
          <w:b/>
          <w:i/>
          <w:sz w:val="22"/>
          <w:szCs w:val="22"/>
          <w:highlight w:val="yellow"/>
          <w:lang w:val="fr-CA"/>
        </w:rPr>
      </w:pPr>
      <w:r>
        <w:rPr>
          <w:rFonts w:ascii="Arial" w:hAnsi="Arial" w:cs="Arial"/>
          <w:b/>
          <w:i/>
          <w:sz w:val="22"/>
          <w:szCs w:val="22"/>
          <w:highlight w:val="yellow"/>
          <w:lang w:val="fr-CA"/>
        </w:rPr>
        <w:pict w14:anchorId="2D298462">
          <v:shape id="_x0000_s2837" type="#_x0000_t32" style="position:absolute;margin-left:-1.5pt;margin-top:8.95pt;width:474pt;height:0;z-index:251683840" o:connectortype="straight" strokeweight="2pt"/>
        </w:pict>
      </w:r>
    </w:p>
    <w:p w14:paraId="24698813" w14:textId="0454393B" w:rsidR="000A1B41" w:rsidRPr="005340E1" w:rsidRDefault="00076142" w:rsidP="000A1B41">
      <w:pPr>
        <w:spacing w:after="120"/>
        <w:rPr>
          <w:rFonts w:ascii="Arial" w:hAnsi="Arial" w:cs="Arial"/>
          <w:b/>
          <w:i/>
          <w:sz w:val="22"/>
          <w:szCs w:val="22"/>
          <w:highlight w:val="yellow"/>
          <w:lang w:val="fr-CA"/>
        </w:rPr>
      </w:pPr>
      <w:r w:rsidRPr="005340E1">
        <w:rPr>
          <w:rFonts w:ascii="Arial" w:hAnsi="Arial" w:cs="Arial"/>
          <w:b/>
          <w:i/>
          <w:sz w:val="22"/>
          <w:szCs w:val="22"/>
          <w:lang w:val="fr-CA"/>
        </w:rPr>
        <w:t xml:space="preserve">Nécessité de mettre en place des mesures normalisées pour évaluer </w:t>
      </w:r>
      <w:r w:rsidR="00604C7D" w:rsidRPr="005340E1">
        <w:rPr>
          <w:rFonts w:ascii="Arial" w:hAnsi="Arial" w:cs="Arial"/>
          <w:b/>
          <w:i/>
          <w:sz w:val="22"/>
          <w:szCs w:val="22"/>
          <w:lang w:val="fr-CA"/>
        </w:rPr>
        <w:t>la préparation à la transition</w:t>
      </w:r>
    </w:p>
    <w:p w14:paraId="7F95FEF0" w14:textId="571C815A" w:rsidR="00C452B3" w:rsidRPr="005340E1" w:rsidRDefault="009A0420" w:rsidP="000A1B41">
      <w:pPr>
        <w:spacing w:after="120"/>
        <w:ind w:firstLine="360"/>
        <w:rPr>
          <w:rFonts w:ascii="Arial" w:hAnsi="Arial" w:cs="Arial"/>
          <w:sz w:val="22"/>
          <w:szCs w:val="22"/>
          <w:lang w:val="fr-CA"/>
        </w:rPr>
      </w:pPr>
      <w:r w:rsidRPr="005340E1">
        <w:rPr>
          <w:rFonts w:ascii="Arial" w:eastAsia="Calibri" w:hAnsi="Arial" w:cs="Arial"/>
          <w:sz w:val="22"/>
          <w:szCs w:val="22"/>
          <w:lang w:val="fr-CA"/>
        </w:rPr>
        <w:t xml:space="preserve">Les données probantes </w:t>
      </w:r>
      <w:r w:rsidR="00F14A18" w:rsidRPr="005340E1">
        <w:rPr>
          <w:rFonts w:ascii="Arial" w:eastAsia="Calibri" w:hAnsi="Arial" w:cs="Arial"/>
          <w:sz w:val="22"/>
          <w:szCs w:val="22"/>
          <w:lang w:val="fr-CA"/>
        </w:rPr>
        <w:t xml:space="preserve">sur les transitions </w:t>
      </w:r>
      <w:r w:rsidR="00F14A18" w:rsidRPr="005340E1">
        <w:rPr>
          <w:rFonts w:ascii="Arial" w:hAnsi="Arial" w:cs="Arial"/>
          <w:sz w:val="22"/>
          <w:szCs w:val="22"/>
          <w:lang w:val="fr-CA"/>
        </w:rPr>
        <w:t>des SCTI</w:t>
      </w:r>
      <w:r w:rsidR="00F14A18" w:rsidRPr="005340E1">
        <w:rPr>
          <w:rFonts w:ascii="Arial" w:eastAsia="Calibri" w:hAnsi="Arial" w:cs="Arial"/>
          <w:sz w:val="22"/>
          <w:szCs w:val="22"/>
          <w:lang w:val="fr-CA"/>
        </w:rPr>
        <w:t xml:space="preserve"> </w:t>
      </w:r>
      <w:r w:rsidR="00984822" w:rsidRPr="005340E1">
        <w:rPr>
          <w:rFonts w:ascii="Arial" w:eastAsia="Calibri" w:hAnsi="Arial" w:cs="Arial"/>
          <w:sz w:val="22"/>
          <w:szCs w:val="22"/>
          <w:lang w:val="fr-CA"/>
        </w:rPr>
        <w:t>vers des services moins intensifs</w:t>
      </w:r>
      <w:r w:rsidR="00E14217" w:rsidRPr="005340E1">
        <w:rPr>
          <w:rFonts w:ascii="Arial" w:eastAsia="Calibri" w:hAnsi="Arial" w:cs="Arial"/>
          <w:sz w:val="22"/>
          <w:szCs w:val="22"/>
          <w:lang w:val="fr-CA"/>
        </w:rPr>
        <w:t xml:space="preserve"> sont partagées</w:t>
      </w:r>
      <w:r w:rsidR="00DD490E">
        <w:rPr>
          <w:rFonts w:ascii="Arial" w:eastAsia="Calibri" w:hAnsi="Arial" w:cs="Arial"/>
          <w:sz w:val="22"/>
          <w:szCs w:val="22"/>
          <w:lang w:val="fr-CA"/>
        </w:rPr>
        <w:t xml:space="preserve">. De plus, </w:t>
      </w:r>
      <w:r w:rsidR="00E14217" w:rsidRPr="005340E1">
        <w:rPr>
          <w:rFonts w:ascii="Arial" w:eastAsia="Calibri" w:hAnsi="Arial" w:cs="Arial"/>
          <w:sz w:val="22"/>
          <w:szCs w:val="22"/>
          <w:lang w:val="fr-CA"/>
        </w:rPr>
        <w:t>il y a un certain nombre de lacunes au niveau de nos connaissances</w:t>
      </w:r>
      <w:r w:rsidR="000A1B41" w:rsidRPr="005340E1">
        <w:rPr>
          <w:rFonts w:ascii="Arial" w:eastAsia="Calibri" w:hAnsi="Arial" w:cs="Arial"/>
          <w:sz w:val="22"/>
          <w:szCs w:val="22"/>
          <w:lang w:val="fr-CA"/>
        </w:rPr>
        <w:t xml:space="preserve">, </w:t>
      </w:r>
      <w:r w:rsidR="00E14217" w:rsidRPr="005340E1">
        <w:rPr>
          <w:rFonts w:ascii="Arial" w:eastAsia="Calibri" w:hAnsi="Arial" w:cs="Arial"/>
          <w:sz w:val="22"/>
          <w:szCs w:val="22"/>
          <w:lang w:val="fr-CA"/>
        </w:rPr>
        <w:t>y compris la compréhension claire de quels clients peuvent faire la transition vers des services moins intensifs, à quel niveau de services moins intensifs et quels seront les résultats</w:t>
      </w:r>
      <w:r w:rsidR="000A1B41" w:rsidRPr="005340E1">
        <w:rPr>
          <w:rFonts w:ascii="Arial" w:eastAsia="Calibri" w:hAnsi="Arial" w:cs="Arial"/>
          <w:sz w:val="22"/>
          <w:szCs w:val="22"/>
          <w:lang w:val="fr-CA"/>
        </w:rPr>
        <w:t xml:space="preserve">. </w:t>
      </w:r>
      <w:r w:rsidR="00984822" w:rsidRPr="005340E1">
        <w:rPr>
          <w:rFonts w:ascii="Arial" w:eastAsia="Calibri" w:hAnsi="Arial" w:cs="Arial"/>
          <w:sz w:val="22"/>
          <w:szCs w:val="22"/>
          <w:lang w:val="fr-CA"/>
        </w:rPr>
        <w:t xml:space="preserve">Par surcroît, il n’existe aucune mesure normalisée </w:t>
      </w:r>
      <w:r w:rsidR="00E14217" w:rsidRPr="005340E1">
        <w:rPr>
          <w:rFonts w:ascii="Arial" w:eastAsia="Calibri" w:hAnsi="Arial" w:cs="Arial"/>
          <w:sz w:val="22"/>
          <w:szCs w:val="22"/>
          <w:lang w:val="fr-CA"/>
        </w:rPr>
        <w:t>conçue spécifiquement pour aider les ECTI à identifier les clients qui pourraient être prêts à faire la transition des SCTI vers des services moins intensifs</w:t>
      </w:r>
      <w:r w:rsidR="000A1B41" w:rsidRPr="005340E1">
        <w:rPr>
          <w:rFonts w:ascii="Arial" w:eastAsia="Calibri" w:hAnsi="Arial" w:cs="Arial"/>
          <w:sz w:val="22"/>
          <w:szCs w:val="22"/>
          <w:lang w:val="fr-CA"/>
        </w:rPr>
        <w:t xml:space="preserve">. </w:t>
      </w:r>
      <w:r w:rsidRPr="005340E1">
        <w:rPr>
          <w:rFonts w:ascii="Arial" w:eastAsia="Calibri" w:hAnsi="Arial" w:cs="Arial"/>
          <w:sz w:val="22"/>
          <w:szCs w:val="22"/>
          <w:lang w:val="fr-CA"/>
        </w:rPr>
        <w:t xml:space="preserve">C’est particulièrement problématique </w:t>
      </w:r>
      <w:r w:rsidR="00604C7D" w:rsidRPr="005340E1">
        <w:rPr>
          <w:rFonts w:ascii="Arial" w:eastAsia="Calibri" w:hAnsi="Arial" w:cs="Arial"/>
          <w:sz w:val="22"/>
          <w:szCs w:val="22"/>
          <w:lang w:val="fr-CA"/>
        </w:rPr>
        <w:t>étant donné l’accent mis sur l’accès accru aux p</w:t>
      </w:r>
      <w:r w:rsidR="00670A03" w:rsidRPr="005340E1">
        <w:rPr>
          <w:rFonts w:ascii="Arial" w:eastAsia="Calibri" w:hAnsi="Arial" w:cs="Arial"/>
          <w:sz w:val="22"/>
          <w:szCs w:val="22"/>
          <w:lang w:val="fr-CA"/>
        </w:rPr>
        <w:t>ratiques fondées sur des données probantes dans le système public de santé mentale</w:t>
      </w:r>
      <w:r w:rsidR="000A1B41" w:rsidRPr="005340E1">
        <w:rPr>
          <w:rFonts w:ascii="Arial" w:eastAsia="Calibri" w:hAnsi="Arial" w:cs="Arial"/>
          <w:sz w:val="22"/>
          <w:szCs w:val="22"/>
          <w:lang w:val="fr-CA"/>
        </w:rPr>
        <w:t>.</w:t>
      </w:r>
      <w:r w:rsidR="000A1B41" w:rsidRPr="005340E1">
        <w:rPr>
          <w:rFonts w:ascii="Arial" w:eastAsia="Calibri" w:hAnsi="Arial" w:cs="Arial"/>
          <w:sz w:val="22"/>
          <w:szCs w:val="22"/>
          <w:vertAlign w:val="superscript"/>
          <w:lang w:val="fr-CA"/>
        </w:rPr>
        <w:footnoteReference w:id="13"/>
      </w:r>
      <w:r w:rsidR="000A1B41" w:rsidRPr="005340E1">
        <w:rPr>
          <w:rFonts w:ascii="Arial" w:eastAsia="Calibri" w:hAnsi="Arial" w:cs="Arial"/>
          <w:sz w:val="22"/>
          <w:szCs w:val="22"/>
          <w:lang w:val="fr-CA"/>
        </w:rPr>
        <w:t xml:space="preserve"> </w:t>
      </w:r>
      <w:r w:rsidR="00766F05" w:rsidRPr="005340E1">
        <w:rPr>
          <w:rFonts w:ascii="Arial" w:hAnsi="Arial" w:cs="Arial"/>
          <w:sz w:val="22"/>
          <w:szCs w:val="22"/>
          <w:lang w:val="fr-CA"/>
        </w:rPr>
        <w:t>Le manque de mesures normalisées conçues spécifiquement pour aider les ECTI à identifier les clients</w:t>
      </w:r>
      <w:r w:rsidR="00E14217" w:rsidRPr="005340E1">
        <w:rPr>
          <w:rFonts w:ascii="Arial" w:hAnsi="Arial" w:cs="Arial"/>
          <w:sz w:val="22"/>
          <w:szCs w:val="22"/>
          <w:lang w:val="fr-CA"/>
        </w:rPr>
        <w:t xml:space="preserve"> </w:t>
      </w:r>
      <w:r w:rsidR="00E14217" w:rsidRPr="005340E1">
        <w:rPr>
          <w:rFonts w:ascii="Arial" w:eastAsia="Calibri" w:hAnsi="Arial" w:cs="Arial"/>
          <w:sz w:val="22"/>
          <w:szCs w:val="22"/>
          <w:lang w:val="fr-CA"/>
        </w:rPr>
        <w:t xml:space="preserve">qui pourraient être prêts à faire la transition vers des services moins intensifs </w:t>
      </w:r>
      <w:r w:rsidR="00E47F4D" w:rsidRPr="005340E1">
        <w:rPr>
          <w:rFonts w:ascii="Arial" w:eastAsia="Calibri" w:hAnsi="Arial" w:cs="Arial"/>
          <w:sz w:val="22"/>
          <w:szCs w:val="22"/>
          <w:lang w:val="fr-CA"/>
        </w:rPr>
        <w:t>est un</w:t>
      </w:r>
      <w:r w:rsidR="00033ECB" w:rsidRPr="005340E1">
        <w:rPr>
          <w:rFonts w:ascii="Arial" w:eastAsia="Calibri" w:hAnsi="Arial" w:cs="Arial"/>
          <w:sz w:val="22"/>
          <w:szCs w:val="22"/>
          <w:lang w:val="fr-CA"/>
        </w:rPr>
        <w:t xml:space="preserve"> obstacle significatif aux progrès</w:t>
      </w:r>
      <w:r w:rsidR="00033ECB" w:rsidRPr="005340E1">
        <w:rPr>
          <w:rFonts w:ascii="Arial" w:hAnsi="Arial" w:cs="Arial"/>
          <w:sz w:val="22"/>
          <w:szCs w:val="22"/>
          <w:lang w:val="fr-CA"/>
        </w:rPr>
        <w:t xml:space="preserve"> dans la pratique, les politiques et la recherche en santé mentale</w:t>
      </w:r>
      <w:r w:rsidR="000A1B41" w:rsidRPr="005340E1">
        <w:rPr>
          <w:rFonts w:ascii="Arial" w:hAnsi="Arial" w:cs="Arial"/>
          <w:sz w:val="22"/>
          <w:szCs w:val="22"/>
          <w:lang w:val="fr-CA"/>
        </w:rPr>
        <w:t xml:space="preserve">. </w:t>
      </w:r>
      <w:r w:rsidR="00E14217" w:rsidRPr="005340E1">
        <w:rPr>
          <w:rFonts w:ascii="Arial" w:hAnsi="Arial" w:cs="Arial"/>
          <w:sz w:val="22"/>
          <w:szCs w:val="22"/>
          <w:lang w:val="fr-CA"/>
        </w:rPr>
        <w:t xml:space="preserve">C’est donc pour combler cette lacune importante </w:t>
      </w:r>
      <w:r w:rsidR="00033ECB" w:rsidRPr="005340E1">
        <w:rPr>
          <w:rFonts w:ascii="Arial" w:hAnsi="Arial" w:cs="Arial"/>
          <w:sz w:val="22"/>
          <w:szCs w:val="22"/>
          <w:lang w:val="fr-CA"/>
        </w:rPr>
        <w:t>dans la pratique, les politiques et la recherche en santé mentale</w:t>
      </w:r>
      <w:r w:rsidR="00670A03" w:rsidRPr="005340E1">
        <w:rPr>
          <w:rFonts w:ascii="Arial" w:hAnsi="Arial" w:cs="Arial"/>
          <w:sz w:val="22"/>
          <w:szCs w:val="22"/>
          <w:lang w:val="fr-CA"/>
        </w:rPr>
        <w:t xml:space="preserve"> que nous avons élaboré la Grille d’évaluation de la préparation à la transition des services communautaires de traitement intensif (</w:t>
      </w:r>
      <w:r w:rsidR="00670A03" w:rsidRPr="005340E1">
        <w:rPr>
          <w:rFonts w:ascii="Arial" w:hAnsi="Arial" w:cs="Arial"/>
          <w:i/>
          <w:sz w:val="22"/>
          <w:szCs w:val="22"/>
          <w:lang w:val="fr-CA"/>
        </w:rPr>
        <w:t>Assertive Community Treatment Transition Readiness Scale</w:t>
      </w:r>
      <w:r w:rsidR="00670A03" w:rsidRPr="005340E1">
        <w:rPr>
          <w:rFonts w:ascii="Arial" w:hAnsi="Arial" w:cs="Arial"/>
          <w:sz w:val="22"/>
          <w:szCs w:val="22"/>
          <w:vertAlign w:val="superscript"/>
          <w:lang w:val="fr-CA"/>
        </w:rPr>
        <w:t>©</w:t>
      </w:r>
      <w:r w:rsidR="00670A03" w:rsidRPr="005340E1">
        <w:rPr>
          <w:rFonts w:ascii="Arial" w:hAnsi="Arial" w:cs="Arial"/>
          <w:sz w:val="22"/>
          <w:szCs w:val="22"/>
          <w:lang w:val="fr-CA"/>
        </w:rPr>
        <w:t>), ou grille d’évaluation ATR</w:t>
      </w:r>
      <w:r w:rsidR="00670A03" w:rsidRPr="005340E1">
        <w:rPr>
          <w:rFonts w:ascii="Arial" w:hAnsi="Arial" w:cs="Arial"/>
          <w:sz w:val="22"/>
          <w:szCs w:val="22"/>
          <w:vertAlign w:val="superscript"/>
          <w:lang w:val="fr-CA"/>
        </w:rPr>
        <w:t>©</w:t>
      </w:r>
      <w:r w:rsidR="00670A03" w:rsidRPr="005340E1">
        <w:rPr>
          <w:rFonts w:ascii="Arial" w:hAnsi="Arial" w:cs="Arial"/>
          <w:sz w:val="22"/>
          <w:szCs w:val="22"/>
          <w:lang w:val="fr-CA"/>
        </w:rPr>
        <w:t>.</w:t>
      </w:r>
    </w:p>
    <w:p w14:paraId="38624CAD" w14:textId="77777777" w:rsidR="00A10933" w:rsidRPr="005340E1" w:rsidRDefault="00C52B80" w:rsidP="00A10933">
      <w:pPr>
        <w:spacing w:after="120"/>
        <w:ind w:firstLine="360"/>
        <w:rPr>
          <w:rFonts w:ascii="Arial" w:hAnsi="Arial" w:cs="Arial"/>
          <w:sz w:val="22"/>
          <w:szCs w:val="22"/>
          <w:lang w:val="fr-CA"/>
        </w:rPr>
      </w:pPr>
      <w:r>
        <w:rPr>
          <w:rFonts w:ascii="Arial" w:hAnsi="Arial" w:cs="Arial"/>
          <w:sz w:val="22"/>
          <w:szCs w:val="22"/>
          <w:lang w:val="fr-CA"/>
        </w:rPr>
        <w:pict w14:anchorId="2CC866AA">
          <v:shape id="_x0000_s2816" type="#_x0000_t32" style="position:absolute;left:0;text-align:left;margin-left:-.75pt;margin-top:5.75pt;width:474pt;height:0;z-index:251666432" o:connectortype="straight" strokeweight="2pt"/>
        </w:pict>
      </w:r>
    </w:p>
    <w:p w14:paraId="2E245CB2" w14:textId="6F49B812" w:rsidR="00A10933" w:rsidRPr="005340E1" w:rsidRDefault="00482F6B" w:rsidP="00A10933">
      <w:pPr>
        <w:spacing w:after="120"/>
        <w:rPr>
          <w:rFonts w:ascii="Arial" w:hAnsi="Arial" w:cs="Arial"/>
          <w:b/>
          <w:i/>
          <w:sz w:val="22"/>
          <w:szCs w:val="22"/>
          <w:lang w:val="fr-CA"/>
        </w:rPr>
      </w:pPr>
      <w:r w:rsidRPr="005340E1">
        <w:rPr>
          <w:rFonts w:ascii="Arial" w:hAnsi="Arial" w:cs="Arial"/>
          <w:b/>
          <w:i/>
          <w:sz w:val="22"/>
          <w:szCs w:val="22"/>
          <w:lang w:val="fr-CA"/>
        </w:rPr>
        <w:t xml:space="preserve">Élaboration de la </w:t>
      </w:r>
      <w:r w:rsidR="0028735C" w:rsidRPr="005340E1">
        <w:rPr>
          <w:rFonts w:ascii="Arial" w:hAnsi="Arial" w:cs="Arial"/>
          <w:b/>
          <w:i/>
          <w:sz w:val="22"/>
          <w:szCs w:val="22"/>
          <w:lang w:val="fr-CA"/>
        </w:rPr>
        <w:t xml:space="preserve">grille </w:t>
      </w:r>
      <w:r w:rsidR="00F56908" w:rsidRPr="005340E1">
        <w:rPr>
          <w:rFonts w:ascii="Arial" w:hAnsi="Arial" w:cs="Arial"/>
          <w:b/>
          <w:i/>
          <w:sz w:val="22"/>
          <w:szCs w:val="22"/>
          <w:lang w:val="fr-CA"/>
        </w:rPr>
        <w:t>ATR</w:t>
      </w:r>
      <w:r w:rsidR="00F56908" w:rsidRPr="005340E1">
        <w:rPr>
          <w:rFonts w:ascii="Arial" w:hAnsi="Arial" w:cs="Arial"/>
          <w:b/>
          <w:i/>
          <w:sz w:val="22"/>
          <w:szCs w:val="22"/>
          <w:vertAlign w:val="superscript"/>
          <w:lang w:val="fr-CA"/>
        </w:rPr>
        <w:t>©</w:t>
      </w:r>
    </w:p>
    <w:p w14:paraId="4404D5F5" w14:textId="232A1BE2" w:rsidR="00A10933" w:rsidRPr="005340E1" w:rsidRDefault="00482F6B" w:rsidP="00E53D81">
      <w:pPr>
        <w:spacing w:after="120"/>
        <w:ind w:firstLine="360"/>
        <w:rPr>
          <w:rFonts w:ascii="Arial" w:hAnsi="Arial" w:cs="Arial"/>
          <w:sz w:val="22"/>
          <w:szCs w:val="22"/>
          <w:lang w:val="fr-CA"/>
        </w:rPr>
      </w:pPr>
      <w:r w:rsidRPr="005340E1">
        <w:rPr>
          <w:rFonts w:ascii="Arial" w:hAnsi="Arial" w:cs="Arial"/>
          <w:sz w:val="22"/>
          <w:szCs w:val="22"/>
          <w:lang w:val="fr-CA"/>
        </w:rPr>
        <w:t xml:space="preserve">La </w:t>
      </w:r>
      <w:r w:rsidR="0028735C" w:rsidRPr="005340E1">
        <w:rPr>
          <w:rFonts w:ascii="Arial" w:hAnsi="Arial" w:cs="Arial"/>
          <w:sz w:val="22"/>
          <w:szCs w:val="22"/>
          <w:lang w:val="fr-CA"/>
        </w:rPr>
        <w:t>grille d’évaluation ATR</w:t>
      </w:r>
      <w:r w:rsidR="0028735C" w:rsidRPr="005340E1">
        <w:rPr>
          <w:rFonts w:ascii="Arial" w:hAnsi="Arial" w:cs="Arial"/>
          <w:sz w:val="22"/>
          <w:szCs w:val="22"/>
          <w:vertAlign w:val="superscript"/>
          <w:lang w:val="fr-CA"/>
        </w:rPr>
        <w:t>©</w:t>
      </w:r>
      <w:r w:rsidR="0028735C" w:rsidRPr="005340E1">
        <w:rPr>
          <w:rFonts w:ascii="Arial" w:hAnsi="Arial" w:cs="Arial"/>
          <w:sz w:val="22"/>
          <w:szCs w:val="22"/>
          <w:lang w:val="fr-CA"/>
        </w:rPr>
        <w:t xml:space="preserve"> est </w:t>
      </w:r>
      <w:r w:rsidR="00B771BB" w:rsidRPr="005340E1">
        <w:rPr>
          <w:rFonts w:ascii="Arial" w:hAnsi="Arial" w:cs="Arial"/>
          <w:sz w:val="22"/>
          <w:szCs w:val="22"/>
          <w:lang w:val="fr-CA"/>
        </w:rPr>
        <w:t xml:space="preserve">un outil de mesure papier-crayon composé de 18 énoncés conçu pour aider le personnel des SCTI à identifier les clients des SCTI à faire la transition vers des services moins intensifs. </w:t>
      </w:r>
      <w:r w:rsidR="00E53D81" w:rsidRPr="005340E1">
        <w:rPr>
          <w:rFonts w:ascii="Arial" w:hAnsi="Arial" w:cs="Arial"/>
          <w:sz w:val="22"/>
          <w:szCs w:val="22"/>
          <w:lang w:val="fr-CA"/>
        </w:rPr>
        <w:t xml:space="preserve">En élaborant les énoncés de </w:t>
      </w:r>
      <w:r w:rsidR="0028735C" w:rsidRPr="005340E1">
        <w:rPr>
          <w:rFonts w:ascii="Arial" w:hAnsi="Arial" w:cs="Arial"/>
          <w:sz w:val="22"/>
          <w:szCs w:val="22"/>
          <w:lang w:val="fr-CA"/>
        </w:rPr>
        <w:t>la grille ATR</w:t>
      </w:r>
      <w:r w:rsidR="0028735C" w:rsidRPr="005340E1">
        <w:rPr>
          <w:rFonts w:ascii="Arial" w:hAnsi="Arial" w:cs="Arial"/>
          <w:sz w:val="22"/>
          <w:szCs w:val="22"/>
          <w:vertAlign w:val="superscript"/>
          <w:lang w:val="fr-CA"/>
        </w:rPr>
        <w:t>©</w:t>
      </w:r>
      <w:r w:rsidR="00A10933" w:rsidRPr="005340E1">
        <w:rPr>
          <w:rFonts w:ascii="Arial" w:hAnsi="Arial" w:cs="Arial"/>
          <w:sz w:val="22"/>
          <w:szCs w:val="22"/>
          <w:lang w:val="fr-CA"/>
        </w:rPr>
        <w:t xml:space="preserve">, </w:t>
      </w:r>
      <w:r w:rsidR="00E53D81" w:rsidRPr="005340E1">
        <w:rPr>
          <w:rFonts w:ascii="Arial" w:hAnsi="Arial" w:cs="Arial"/>
          <w:sz w:val="22"/>
          <w:szCs w:val="22"/>
          <w:lang w:val="fr-CA"/>
        </w:rPr>
        <w:t xml:space="preserve">plusieurs sources ont été utilisées pour déterminer le contenu des énoncés : </w:t>
      </w:r>
      <w:r w:rsidR="00A10933" w:rsidRPr="005340E1">
        <w:rPr>
          <w:rFonts w:ascii="Arial" w:hAnsi="Arial" w:cs="Arial"/>
          <w:sz w:val="22"/>
          <w:szCs w:val="22"/>
          <w:lang w:val="fr-CA"/>
        </w:rPr>
        <w:t xml:space="preserve">(a) </w:t>
      </w:r>
      <w:r w:rsidR="00E53D81" w:rsidRPr="005340E1">
        <w:rPr>
          <w:rFonts w:ascii="Arial" w:hAnsi="Arial" w:cs="Arial"/>
          <w:sz w:val="22"/>
          <w:szCs w:val="22"/>
          <w:lang w:val="fr-CA"/>
        </w:rPr>
        <w:t xml:space="preserve">des entrevues qualitatives avec </w:t>
      </w:r>
      <w:r w:rsidR="00E6669B" w:rsidRPr="005340E1">
        <w:rPr>
          <w:rFonts w:ascii="Arial" w:hAnsi="Arial" w:cs="Arial"/>
          <w:sz w:val="22"/>
          <w:szCs w:val="22"/>
          <w:lang w:val="fr-CA"/>
        </w:rPr>
        <w:t xml:space="preserve">du personnel expérimenté </w:t>
      </w:r>
      <w:r w:rsidR="00A80A2B" w:rsidRPr="005340E1">
        <w:rPr>
          <w:rFonts w:ascii="Arial" w:hAnsi="Arial" w:cs="Arial"/>
          <w:sz w:val="22"/>
          <w:szCs w:val="22"/>
          <w:lang w:val="fr-CA"/>
        </w:rPr>
        <w:t xml:space="preserve">des </w:t>
      </w:r>
      <w:r w:rsidR="00B771BB" w:rsidRPr="005340E1">
        <w:rPr>
          <w:rFonts w:ascii="Arial" w:hAnsi="Arial" w:cs="Arial"/>
          <w:sz w:val="22"/>
          <w:szCs w:val="22"/>
          <w:lang w:val="fr-CA"/>
        </w:rPr>
        <w:t>SCTI</w:t>
      </w:r>
      <w:r w:rsidR="00A10933" w:rsidRPr="005340E1">
        <w:rPr>
          <w:rFonts w:ascii="Arial" w:hAnsi="Arial" w:cs="Arial"/>
          <w:sz w:val="22"/>
          <w:szCs w:val="22"/>
          <w:lang w:val="fr-CA"/>
        </w:rPr>
        <w:t xml:space="preserve">, (b) </w:t>
      </w:r>
      <w:r w:rsidR="00E53D81" w:rsidRPr="005340E1">
        <w:rPr>
          <w:rFonts w:ascii="Arial" w:hAnsi="Arial" w:cs="Arial"/>
          <w:sz w:val="22"/>
          <w:szCs w:val="22"/>
          <w:lang w:val="fr-CA"/>
        </w:rPr>
        <w:t xml:space="preserve">des recherches sur les transitions des services communautaires de traitement intensif; et </w:t>
      </w:r>
      <w:r w:rsidR="00A10933" w:rsidRPr="005340E1">
        <w:rPr>
          <w:rFonts w:ascii="Arial" w:hAnsi="Arial" w:cs="Arial"/>
          <w:sz w:val="22"/>
          <w:szCs w:val="22"/>
          <w:lang w:val="fr-CA"/>
        </w:rPr>
        <w:t xml:space="preserve">(c) </w:t>
      </w:r>
      <w:r w:rsidR="00E53D81" w:rsidRPr="005340E1">
        <w:rPr>
          <w:rFonts w:ascii="Arial" w:hAnsi="Arial" w:cs="Arial"/>
          <w:sz w:val="22"/>
          <w:szCs w:val="22"/>
          <w:lang w:val="fr-CA"/>
        </w:rPr>
        <w:t>des mesures normalisées similaires, comme l</w:t>
      </w:r>
      <w:r w:rsidR="00E6669B" w:rsidRPr="005340E1">
        <w:rPr>
          <w:rFonts w:ascii="Arial" w:hAnsi="Arial" w:cs="Arial"/>
          <w:sz w:val="22"/>
          <w:szCs w:val="22"/>
          <w:lang w:val="fr-CA"/>
        </w:rPr>
        <w:t>’outil</w:t>
      </w:r>
      <w:r w:rsidR="00E53D81" w:rsidRPr="005340E1">
        <w:rPr>
          <w:rFonts w:ascii="Arial" w:hAnsi="Arial" w:cs="Arial"/>
          <w:sz w:val="22"/>
          <w:szCs w:val="22"/>
          <w:lang w:val="fr-CA"/>
        </w:rPr>
        <w:t xml:space="preserve"> </w:t>
      </w:r>
      <w:r w:rsidR="00A10933" w:rsidRPr="005340E1">
        <w:rPr>
          <w:rFonts w:ascii="Arial" w:hAnsi="Arial" w:cs="Arial"/>
          <w:i/>
          <w:sz w:val="22"/>
          <w:szCs w:val="22"/>
          <w:lang w:val="fr-CA"/>
        </w:rPr>
        <w:t>Level of Care Utilization System for Psychiatric and Addiction Services</w:t>
      </w:r>
      <w:r w:rsidR="00A10933" w:rsidRPr="005340E1">
        <w:rPr>
          <w:rFonts w:ascii="Arial" w:hAnsi="Arial" w:cs="Arial"/>
          <w:sz w:val="22"/>
          <w:szCs w:val="22"/>
          <w:lang w:val="fr-CA"/>
        </w:rPr>
        <w:t xml:space="preserve"> (LOCUS)</w:t>
      </w:r>
      <w:r w:rsidR="000A1B41" w:rsidRPr="005340E1">
        <w:rPr>
          <w:rFonts w:ascii="Arial" w:hAnsi="Arial" w:cs="Arial"/>
          <w:sz w:val="22"/>
          <w:szCs w:val="22"/>
          <w:lang w:val="fr-CA"/>
        </w:rPr>
        <w:t>.</w:t>
      </w:r>
      <w:r w:rsidR="00A10933" w:rsidRPr="005340E1">
        <w:rPr>
          <w:rStyle w:val="FootnoteReference"/>
          <w:rFonts w:ascii="Arial" w:hAnsi="Arial" w:cs="Arial"/>
          <w:sz w:val="22"/>
          <w:szCs w:val="22"/>
          <w:lang w:val="fr-CA"/>
        </w:rPr>
        <w:footnoteReference w:id="14"/>
      </w:r>
    </w:p>
    <w:p w14:paraId="0890E1D0" w14:textId="77777777" w:rsidR="000A1B41" w:rsidRPr="005340E1" w:rsidRDefault="00C52B80" w:rsidP="000A1B41">
      <w:pPr>
        <w:spacing w:after="120"/>
        <w:rPr>
          <w:rFonts w:ascii="Arial" w:eastAsia="Calibri" w:hAnsi="Arial" w:cs="Arial"/>
          <w:sz w:val="22"/>
          <w:szCs w:val="22"/>
          <w:highlight w:val="yellow"/>
          <w:lang w:val="fr-CA"/>
        </w:rPr>
      </w:pPr>
      <w:r>
        <w:rPr>
          <w:rFonts w:ascii="Arial" w:eastAsia="Calibri" w:hAnsi="Arial" w:cs="Arial"/>
          <w:sz w:val="22"/>
          <w:szCs w:val="22"/>
          <w:highlight w:val="yellow"/>
          <w:lang w:val="fr-CA"/>
        </w:rPr>
        <w:pict w14:anchorId="1F17510A">
          <v:shape id="_x0000_s2817" type="#_x0000_t32" style="position:absolute;margin-left:2.25pt;margin-top:5.7pt;width:474pt;height:0;z-index:251667456" o:connectortype="straight" strokeweight="2pt"/>
        </w:pict>
      </w:r>
    </w:p>
    <w:p w14:paraId="393398D1" w14:textId="7B9B4DE8" w:rsidR="00A10933" w:rsidRPr="005340E1" w:rsidRDefault="009B50C7" w:rsidP="000A1B41">
      <w:pPr>
        <w:spacing w:after="120"/>
        <w:rPr>
          <w:rFonts w:ascii="Arial" w:hAnsi="Arial" w:cs="Arial"/>
          <w:b/>
          <w:i/>
          <w:sz w:val="22"/>
          <w:szCs w:val="22"/>
          <w:lang w:val="fr-CA"/>
        </w:rPr>
      </w:pPr>
      <w:r w:rsidRPr="005340E1">
        <w:rPr>
          <w:rFonts w:ascii="Arial" w:hAnsi="Arial" w:cs="Arial"/>
          <w:b/>
          <w:i/>
          <w:sz w:val="22"/>
          <w:szCs w:val="22"/>
          <w:lang w:val="fr-CA"/>
        </w:rPr>
        <w:t xml:space="preserve">Caractéristiques évaluées par la </w:t>
      </w:r>
      <w:r w:rsidR="0028735C" w:rsidRPr="005340E1">
        <w:rPr>
          <w:rFonts w:ascii="Arial" w:hAnsi="Arial" w:cs="Arial"/>
          <w:b/>
          <w:i/>
          <w:sz w:val="22"/>
          <w:szCs w:val="22"/>
          <w:lang w:val="fr-CA"/>
        </w:rPr>
        <w:t xml:space="preserve">grille </w:t>
      </w:r>
      <w:r w:rsidR="00F56908" w:rsidRPr="005340E1">
        <w:rPr>
          <w:rFonts w:ascii="Arial" w:hAnsi="Arial" w:cs="Arial"/>
          <w:b/>
          <w:i/>
          <w:sz w:val="22"/>
          <w:szCs w:val="22"/>
          <w:lang w:val="fr-CA"/>
        </w:rPr>
        <w:t>ATR</w:t>
      </w:r>
      <w:r w:rsidR="00F56908" w:rsidRPr="005340E1">
        <w:rPr>
          <w:rFonts w:ascii="Arial" w:hAnsi="Arial" w:cs="Arial"/>
          <w:b/>
          <w:i/>
          <w:sz w:val="22"/>
          <w:szCs w:val="22"/>
          <w:vertAlign w:val="superscript"/>
          <w:lang w:val="fr-CA"/>
        </w:rPr>
        <w:t>©</w:t>
      </w:r>
    </w:p>
    <w:p w14:paraId="0B7A62DF" w14:textId="79CCA5D1" w:rsidR="00A10933" w:rsidRPr="005340E1" w:rsidRDefault="00ED7B5C" w:rsidP="00A10933">
      <w:pPr>
        <w:spacing w:after="120"/>
        <w:ind w:firstLine="360"/>
        <w:rPr>
          <w:rFonts w:ascii="Arial" w:hAnsi="Arial" w:cs="Arial"/>
          <w:sz w:val="22"/>
          <w:szCs w:val="22"/>
          <w:lang w:val="fr-CA"/>
        </w:rPr>
      </w:pPr>
      <w:r w:rsidRPr="005340E1">
        <w:rPr>
          <w:rFonts w:ascii="Arial" w:hAnsi="Arial" w:cs="Arial"/>
          <w:sz w:val="22"/>
          <w:szCs w:val="22"/>
          <w:lang w:val="fr-CA"/>
        </w:rPr>
        <w:t>Les éléments de la grille ATR</w:t>
      </w:r>
      <w:r w:rsidRPr="005340E1">
        <w:rPr>
          <w:rFonts w:ascii="Arial" w:hAnsi="Arial" w:cs="Arial"/>
          <w:sz w:val="22"/>
          <w:szCs w:val="22"/>
          <w:vertAlign w:val="superscript"/>
          <w:lang w:val="fr-CA"/>
        </w:rPr>
        <w:t>©</w:t>
      </w:r>
      <w:r w:rsidRPr="005340E1">
        <w:rPr>
          <w:rFonts w:ascii="Arial" w:hAnsi="Arial" w:cs="Arial"/>
          <w:sz w:val="22"/>
          <w:szCs w:val="22"/>
          <w:lang w:val="fr-CA"/>
        </w:rPr>
        <w:t xml:space="preserve"> ont été soigneusement conçus en respectant les </w:t>
      </w:r>
      <w:r w:rsidR="00E80DED" w:rsidRPr="005340E1">
        <w:rPr>
          <w:rFonts w:ascii="Arial" w:hAnsi="Arial" w:cs="Arial"/>
          <w:sz w:val="22"/>
          <w:szCs w:val="22"/>
          <w:lang w:val="fr-CA"/>
        </w:rPr>
        <w:t xml:space="preserve">bons </w:t>
      </w:r>
      <w:r w:rsidRPr="005340E1">
        <w:rPr>
          <w:rFonts w:ascii="Arial" w:hAnsi="Arial" w:cs="Arial"/>
          <w:sz w:val="22"/>
          <w:szCs w:val="22"/>
          <w:lang w:val="fr-CA"/>
        </w:rPr>
        <w:t xml:space="preserve">principes de </w:t>
      </w:r>
      <w:r w:rsidR="00E80DED" w:rsidRPr="005340E1">
        <w:rPr>
          <w:rFonts w:ascii="Arial" w:hAnsi="Arial" w:cs="Arial"/>
          <w:sz w:val="22"/>
          <w:szCs w:val="22"/>
          <w:lang w:val="fr-CA"/>
        </w:rPr>
        <w:t xml:space="preserve">conception des énoncés </w:t>
      </w:r>
      <w:r w:rsidR="0071701C" w:rsidRPr="005340E1">
        <w:rPr>
          <w:rFonts w:ascii="Arial" w:hAnsi="Arial" w:cs="Arial"/>
          <w:sz w:val="22"/>
          <w:szCs w:val="22"/>
          <w:lang w:val="fr-CA"/>
        </w:rPr>
        <w:t>et en rédigeant des directives claires sur la façon de la remplir</w:t>
      </w:r>
      <w:r w:rsidR="0023654D" w:rsidRPr="005340E1">
        <w:rPr>
          <w:rFonts w:ascii="Arial" w:hAnsi="Arial" w:cs="Arial"/>
          <w:sz w:val="22"/>
          <w:szCs w:val="22"/>
          <w:lang w:val="fr-CA"/>
        </w:rPr>
        <w:t>.</w:t>
      </w:r>
      <w:r w:rsidR="0023654D" w:rsidRPr="005340E1">
        <w:rPr>
          <w:rStyle w:val="FootnoteReference"/>
          <w:rFonts w:ascii="Arial" w:hAnsi="Arial" w:cs="Arial"/>
          <w:sz w:val="22"/>
          <w:szCs w:val="22"/>
          <w:lang w:val="fr-CA"/>
        </w:rPr>
        <w:footnoteReference w:id="15"/>
      </w:r>
      <w:r w:rsidR="0023654D" w:rsidRPr="005340E1">
        <w:rPr>
          <w:rFonts w:ascii="Arial" w:hAnsi="Arial" w:cs="Arial"/>
          <w:sz w:val="22"/>
          <w:szCs w:val="22"/>
          <w:lang w:val="fr-CA"/>
        </w:rPr>
        <w:t xml:space="preserve"> </w:t>
      </w:r>
      <w:r w:rsidR="00F378D9" w:rsidRPr="005340E1">
        <w:rPr>
          <w:rFonts w:ascii="Arial" w:hAnsi="Arial" w:cs="Arial"/>
          <w:sz w:val="22"/>
          <w:szCs w:val="22"/>
          <w:lang w:val="fr-CA"/>
        </w:rPr>
        <w:t>Les éléments traitent des domaines suivants </w:t>
      </w:r>
      <w:r w:rsidR="0023654D" w:rsidRPr="005340E1">
        <w:rPr>
          <w:rFonts w:ascii="Arial" w:hAnsi="Arial" w:cs="Arial"/>
          <w:sz w:val="22"/>
          <w:szCs w:val="22"/>
          <w:lang w:val="fr-CA"/>
        </w:rPr>
        <w:t xml:space="preserve">: (a) </w:t>
      </w:r>
      <w:r w:rsidR="002E70B7" w:rsidRPr="005340E1">
        <w:rPr>
          <w:rFonts w:ascii="Arial" w:hAnsi="Arial" w:cs="Arial"/>
          <w:sz w:val="22"/>
          <w:szCs w:val="22"/>
          <w:lang w:val="fr-CA"/>
        </w:rPr>
        <w:t>stabilité de l’état psychiatrique et du comportement</w:t>
      </w:r>
      <w:r w:rsidR="0023654D" w:rsidRPr="005340E1">
        <w:rPr>
          <w:rFonts w:ascii="Arial" w:hAnsi="Arial" w:cs="Arial"/>
          <w:sz w:val="22"/>
          <w:szCs w:val="22"/>
          <w:lang w:val="fr-CA"/>
        </w:rPr>
        <w:t xml:space="preserve">; (b) </w:t>
      </w:r>
      <w:r w:rsidR="002E70B7" w:rsidRPr="005340E1">
        <w:rPr>
          <w:rFonts w:ascii="Arial" w:hAnsi="Arial" w:cs="Arial"/>
          <w:sz w:val="22"/>
          <w:szCs w:val="22"/>
          <w:lang w:val="fr-CA"/>
        </w:rPr>
        <w:t xml:space="preserve">hospitalisation et </w:t>
      </w:r>
      <w:r w:rsidR="00F378D9" w:rsidRPr="005340E1">
        <w:rPr>
          <w:rFonts w:ascii="Arial" w:hAnsi="Arial" w:cs="Arial"/>
          <w:sz w:val="22"/>
          <w:szCs w:val="22"/>
          <w:lang w:val="fr-CA"/>
        </w:rPr>
        <w:t>incarcé</w:t>
      </w:r>
      <w:r w:rsidR="0023654D" w:rsidRPr="005340E1">
        <w:rPr>
          <w:rFonts w:ascii="Arial" w:hAnsi="Arial" w:cs="Arial"/>
          <w:sz w:val="22"/>
          <w:szCs w:val="22"/>
          <w:lang w:val="fr-CA"/>
        </w:rPr>
        <w:t xml:space="preserve">ration; (c) </w:t>
      </w:r>
      <w:r w:rsidR="006E75A9" w:rsidRPr="005340E1">
        <w:rPr>
          <w:rFonts w:ascii="Arial" w:hAnsi="Arial" w:cs="Arial"/>
          <w:sz w:val="22"/>
          <w:szCs w:val="22"/>
          <w:lang w:val="fr-CA"/>
        </w:rPr>
        <w:t>stabilité du logement</w:t>
      </w:r>
      <w:r w:rsidR="0023654D" w:rsidRPr="005340E1">
        <w:rPr>
          <w:rFonts w:ascii="Arial" w:hAnsi="Arial" w:cs="Arial"/>
          <w:sz w:val="22"/>
          <w:szCs w:val="22"/>
          <w:lang w:val="fr-CA"/>
        </w:rPr>
        <w:t xml:space="preserve">; (d) </w:t>
      </w:r>
      <w:r w:rsidR="000A6655" w:rsidRPr="005340E1">
        <w:rPr>
          <w:rFonts w:ascii="Arial" w:hAnsi="Arial" w:cs="Arial"/>
          <w:sz w:val="22"/>
          <w:szCs w:val="22"/>
          <w:lang w:val="fr-CA"/>
        </w:rPr>
        <w:lastRenderedPageBreak/>
        <w:t>engagement/participation au traitement</w:t>
      </w:r>
      <w:r w:rsidR="0023654D" w:rsidRPr="005340E1">
        <w:rPr>
          <w:rFonts w:ascii="Arial" w:hAnsi="Arial" w:cs="Arial"/>
          <w:sz w:val="22"/>
          <w:szCs w:val="22"/>
          <w:lang w:val="fr-CA"/>
        </w:rPr>
        <w:t xml:space="preserve">; (e) </w:t>
      </w:r>
      <w:r w:rsidR="002838CD" w:rsidRPr="005340E1">
        <w:rPr>
          <w:rFonts w:ascii="Arial" w:hAnsi="Arial" w:cs="Arial"/>
          <w:sz w:val="22"/>
          <w:szCs w:val="22"/>
          <w:lang w:val="fr-CA"/>
        </w:rPr>
        <w:t>observance du traitement médicamenteux</w:t>
      </w:r>
      <w:r w:rsidR="0023654D" w:rsidRPr="005340E1">
        <w:rPr>
          <w:rFonts w:ascii="Arial" w:hAnsi="Arial" w:cs="Arial"/>
          <w:sz w:val="22"/>
          <w:szCs w:val="22"/>
          <w:lang w:val="fr-CA"/>
        </w:rPr>
        <w:t xml:space="preserve">; (g) </w:t>
      </w:r>
      <w:r w:rsidR="00E50E65" w:rsidRPr="005340E1">
        <w:rPr>
          <w:rFonts w:ascii="Arial" w:hAnsi="Arial" w:cs="Arial"/>
          <w:sz w:val="22"/>
          <w:szCs w:val="22"/>
          <w:lang w:val="fr-CA"/>
        </w:rPr>
        <w:t>autonomie; (g) complexité des problèmes de santé et de comportement</w:t>
      </w:r>
      <w:r w:rsidR="0023654D" w:rsidRPr="005340E1">
        <w:rPr>
          <w:rFonts w:ascii="Arial" w:hAnsi="Arial" w:cs="Arial"/>
          <w:sz w:val="22"/>
          <w:szCs w:val="22"/>
          <w:lang w:val="fr-CA"/>
        </w:rPr>
        <w:t xml:space="preserve">, </w:t>
      </w:r>
      <w:r w:rsidR="00D663B8" w:rsidRPr="005340E1">
        <w:rPr>
          <w:rFonts w:ascii="Arial" w:hAnsi="Arial" w:cs="Arial"/>
          <w:sz w:val="22"/>
          <w:szCs w:val="22"/>
          <w:lang w:val="fr-CA"/>
        </w:rPr>
        <w:t>y compris la dépendance/toxicomanie</w:t>
      </w:r>
      <w:r w:rsidR="0023654D" w:rsidRPr="005340E1">
        <w:rPr>
          <w:rFonts w:ascii="Arial" w:hAnsi="Arial" w:cs="Arial"/>
          <w:sz w:val="22"/>
          <w:szCs w:val="22"/>
          <w:lang w:val="fr-CA"/>
        </w:rPr>
        <w:t xml:space="preserve">; (h) </w:t>
      </w:r>
      <w:r w:rsidR="00E50E65" w:rsidRPr="005340E1">
        <w:rPr>
          <w:rFonts w:ascii="Arial" w:hAnsi="Arial" w:cs="Arial"/>
          <w:sz w:val="22"/>
          <w:szCs w:val="22"/>
          <w:lang w:val="fr-CA"/>
        </w:rPr>
        <w:t xml:space="preserve">intensité </w:t>
      </w:r>
      <w:r w:rsidR="00D663B8" w:rsidRPr="005340E1">
        <w:rPr>
          <w:rFonts w:ascii="Arial" w:hAnsi="Arial" w:cs="Arial"/>
          <w:sz w:val="22"/>
          <w:szCs w:val="22"/>
          <w:lang w:val="fr-CA"/>
        </w:rPr>
        <w:t>d</w:t>
      </w:r>
      <w:r w:rsidR="006E75A9" w:rsidRPr="005340E1">
        <w:rPr>
          <w:rFonts w:ascii="Arial" w:hAnsi="Arial" w:cs="Arial"/>
          <w:sz w:val="22"/>
          <w:szCs w:val="22"/>
          <w:lang w:val="fr-CA"/>
        </w:rPr>
        <w:t>u besoin de services</w:t>
      </w:r>
      <w:r w:rsidR="0023654D" w:rsidRPr="005340E1">
        <w:rPr>
          <w:rFonts w:ascii="Arial" w:hAnsi="Arial" w:cs="Arial"/>
          <w:sz w:val="22"/>
          <w:szCs w:val="22"/>
          <w:lang w:val="fr-CA"/>
        </w:rPr>
        <w:t xml:space="preserve">; (i) </w:t>
      </w:r>
      <w:r w:rsidR="000A6655" w:rsidRPr="005340E1">
        <w:rPr>
          <w:rFonts w:ascii="Arial" w:hAnsi="Arial" w:cs="Arial"/>
          <w:sz w:val="22"/>
          <w:szCs w:val="22"/>
          <w:lang w:val="fr-CA"/>
        </w:rPr>
        <w:t>prestations d’aide</w:t>
      </w:r>
      <w:r w:rsidR="0023654D" w:rsidRPr="005340E1">
        <w:rPr>
          <w:rFonts w:ascii="Arial" w:hAnsi="Arial" w:cs="Arial"/>
          <w:sz w:val="22"/>
          <w:szCs w:val="22"/>
          <w:lang w:val="fr-CA"/>
        </w:rPr>
        <w:t>; (j) s</w:t>
      </w:r>
      <w:r w:rsidR="00D663B8" w:rsidRPr="005340E1">
        <w:rPr>
          <w:rFonts w:ascii="Arial" w:hAnsi="Arial" w:cs="Arial"/>
          <w:sz w:val="22"/>
          <w:szCs w:val="22"/>
          <w:lang w:val="fr-CA"/>
        </w:rPr>
        <w:t>outien social</w:t>
      </w:r>
      <w:r w:rsidR="0023654D" w:rsidRPr="005340E1">
        <w:rPr>
          <w:rFonts w:ascii="Arial" w:hAnsi="Arial" w:cs="Arial"/>
          <w:sz w:val="22"/>
          <w:szCs w:val="22"/>
          <w:lang w:val="fr-CA"/>
        </w:rPr>
        <w:t>; (k) res</w:t>
      </w:r>
      <w:r w:rsidR="00D663B8" w:rsidRPr="005340E1">
        <w:rPr>
          <w:rFonts w:ascii="Arial" w:hAnsi="Arial" w:cs="Arial"/>
          <w:sz w:val="22"/>
          <w:szCs w:val="22"/>
          <w:lang w:val="fr-CA"/>
        </w:rPr>
        <w:t>s</w:t>
      </w:r>
      <w:r w:rsidR="0023654D" w:rsidRPr="005340E1">
        <w:rPr>
          <w:rFonts w:ascii="Arial" w:hAnsi="Arial" w:cs="Arial"/>
          <w:sz w:val="22"/>
          <w:szCs w:val="22"/>
          <w:lang w:val="fr-CA"/>
        </w:rPr>
        <w:t>ources; (l) in</w:t>
      </w:r>
      <w:r w:rsidR="00D663B8" w:rsidRPr="005340E1">
        <w:rPr>
          <w:rFonts w:ascii="Arial" w:hAnsi="Arial" w:cs="Arial"/>
          <w:sz w:val="22"/>
          <w:szCs w:val="22"/>
          <w:lang w:val="fr-CA"/>
        </w:rPr>
        <w:t>trospection</w:t>
      </w:r>
      <w:r w:rsidR="0023654D" w:rsidRPr="005340E1">
        <w:rPr>
          <w:rFonts w:ascii="Arial" w:hAnsi="Arial" w:cs="Arial"/>
          <w:sz w:val="22"/>
          <w:szCs w:val="22"/>
          <w:lang w:val="fr-CA"/>
        </w:rPr>
        <w:t xml:space="preserve">; (m) </w:t>
      </w:r>
      <w:r w:rsidR="00D663B8" w:rsidRPr="005340E1">
        <w:rPr>
          <w:rFonts w:ascii="Arial" w:hAnsi="Arial" w:cs="Arial"/>
          <w:sz w:val="22"/>
          <w:szCs w:val="22"/>
          <w:lang w:val="fr-CA"/>
        </w:rPr>
        <w:t>structure quotidienne; et</w:t>
      </w:r>
      <w:r w:rsidR="0023654D" w:rsidRPr="005340E1">
        <w:rPr>
          <w:rFonts w:ascii="Arial" w:hAnsi="Arial" w:cs="Arial"/>
          <w:sz w:val="22"/>
          <w:szCs w:val="22"/>
          <w:lang w:val="fr-CA"/>
        </w:rPr>
        <w:t xml:space="preserve"> (n) </w:t>
      </w:r>
      <w:r w:rsidR="000D76D3" w:rsidRPr="005340E1">
        <w:rPr>
          <w:rFonts w:ascii="Arial" w:hAnsi="Arial" w:cs="Arial"/>
          <w:sz w:val="22"/>
          <w:szCs w:val="22"/>
          <w:lang w:val="fr-CA"/>
        </w:rPr>
        <w:t>emploi</w:t>
      </w:r>
      <w:r w:rsidR="0023654D" w:rsidRPr="005340E1">
        <w:rPr>
          <w:rFonts w:ascii="Arial" w:hAnsi="Arial" w:cs="Arial"/>
          <w:sz w:val="22"/>
          <w:szCs w:val="22"/>
          <w:lang w:val="fr-CA"/>
        </w:rPr>
        <w:t>.</w:t>
      </w:r>
    </w:p>
    <w:p w14:paraId="712FA96D" w14:textId="77777777" w:rsidR="00A10933" w:rsidRPr="005340E1" w:rsidRDefault="00C52B80" w:rsidP="00A10933">
      <w:pPr>
        <w:spacing w:after="120"/>
        <w:rPr>
          <w:rFonts w:ascii="Arial" w:hAnsi="Arial" w:cs="Arial"/>
          <w:sz w:val="22"/>
          <w:szCs w:val="22"/>
          <w:highlight w:val="yellow"/>
          <w:lang w:val="fr-CA"/>
        </w:rPr>
      </w:pPr>
      <w:r>
        <w:rPr>
          <w:rFonts w:ascii="Arial" w:hAnsi="Arial" w:cs="Arial"/>
          <w:sz w:val="22"/>
          <w:szCs w:val="22"/>
          <w:highlight w:val="yellow"/>
          <w:lang w:val="fr-CA"/>
        </w:rPr>
        <w:pict w14:anchorId="5C8CB8D5">
          <v:shape id="_x0000_s2820" type="#_x0000_t32" style="position:absolute;margin-left:-1.5pt;margin-top:6.25pt;width:474pt;height:0;z-index:251670528" o:connectortype="straight" strokeweight="2pt"/>
        </w:pict>
      </w:r>
    </w:p>
    <w:p w14:paraId="4C839F13" w14:textId="19946301" w:rsidR="00A10933" w:rsidRPr="005340E1" w:rsidRDefault="00A10933" w:rsidP="00A10933">
      <w:pPr>
        <w:spacing w:after="120"/>
        <w:rPr>
          <w:rFonts w:ascii="Arial" w:hAnsi="Arial" w:cs="Arial"/>
          <w:b/>
          <w:i/>
          <w:sz w:val="22"/>
          <w:szCs w:val="22"/>
          <w:lang w:val="fr-CA"/>
        </w:rPr>
      </w:pPr>
      <w:r w:rsidRPr="005340E1">
        <w:rPr>
          <w:rFonts w:ascii="Arial" w:hAnsi="Arial" w:cs="Arial"/>
          <w:b/>
          <w:i/>
          <w:sz w:val="22"/>
          <w:szCs w:val="22"/>
          <w:lang w:val="fr-CA"/>
        </w:rPr>
        <w:t>A</w:t>
      </w:r>
      <w:r w:rsidR="000163D3" w:rsidRPr="005340E1">
        <w:rPr>
          <w:rFonts w:ascii="Arial" w:hAnsi="Arial" w:cs="Arial"/>
          <w:b/>
          <w:i/>
          <w:sz w:val="22"/>
          <w:szCs w:val="22"/>
          <w:lang w:val="fr-CA"/>
        </w:rPr>
        <w:t xml:space="preserve">vantages d’utiliser la </w:t>
      </w:r>
      <w:r w:rsidR="0028735C" w:rsidRPr="005340E1">
        <w:rPr>
          <w:rFonts w:ascii="Arial" w:hAnsi="Arial" w:cs="Arial"/>
          <w:b/>
          <w:i/>
          <w:sz w:val="22"/>
          <w:szCs w:val="22"/>
          <w:lang w:val="fr-CA"/>
        </w:rPr>
        <w:t xml:space="preserve">grille </w:t>
      </w:r>
      <w:r w:rsidR="00F56908" w:rsidRPr="005340E1">
        <w:rPr>
          <w:rFonts w:ascii="Arial" w:hAnsi="Arial" w:cs="Arial"/>
          <w:b/>
          <w:i/>
          <w:sz w:val="22"/>
          <w:szCs w:val="22"/>
          <w:lang w:val="fr-CA"/>
        </w:rPr>
        <w:t>ATR</w:t>
      </w:r>
      <w:r w:rsidR="00F56908" w:rsidRPr="005340E1">
        <w:rPr>
          <w:rFonts w:ascii="Arial" w:hAnsi="Arial" w:cs="Arial"/>
          <w:b/>
          <w:i/>
          <w:sz w:val="22"/>
          <w:szCs w:val="22"/>
          <w:vertAlign w:val="superscript"/>
          <w:lang w:val="fr-CA"/>
        </w:rPr>
        <w:t>©</w:t>
      </w:r>
    </w:p>
    <w:p w14:paraId="707A8C11" w14:textId="67072E9E" w:rsidR="00A10933" w:rsidRPr="005340E1" w:rsidRDefault="00D663B8" w:rsidP="00A10933">
      <w:pPr>
        <w:spacing w:after="120"/>
        <w:ind w:firstLine="360"/>
        <w:rPr>
          <w:rFonts w:ascii="Arial" w:hAnsi="Arial" w:cs="Arial"/>
          <w:sz w:val="22"/>
          <w:szCs w:val="22"/>
          <w:lang w:val="fr-CA"/>
        </w:rPr>
      </w:pPr>
      <w:r w:rsidRPr="005340E1">
        <w:rPr>
          <w:rFonts w:ascii="Arial" w:hAnsi="Arial" w:cs="Arial"/>
          <w:sz w:val="22"/>
          <w:szCs w:val="22"/>
          <w:lang w:val="fr-CA"/>
        </w:rPr>
        <w:t>L’util</w:t>
      </w:r>
      <w:r w:rsidR="0084472F" w:rsidRPr="005340E1">
        <w:rPr>
          <w:rFonts w:ascii="Arial" w:hAnsi="Arial" w:cs="Arial"/>
          <w:sz w:val="22"/>
          <w:szCs w:val="22"/>
          <w:lang w:val="fr-CA"/>
        </w:rPr>
        <w:t>isation de</w:t>
      </w:r>
      <w:r w:rsidR="000D76D3" w:rsidRPr="005340E1">
        <w:rPr>
          <w:rFonts w:ascii="Arial" w:hAnsi="Arial" w:cs="Arial"/>
          <w:sz w:val="22"/>
          <w:szCs w:val="22"/>
          <w:lang w:val="fr-CA"/>
        </w:rPr>
        <w:t xml:space="preserve"> mesures normalisées comme la </w:t>
      </w:r>
      <w:r w:rsidR="0028735C" w:rsidRPr="005340E1">
        <w:rPr>
          <w:rFonts w:ascii="Arial" w:hAnsi="Arial" w:cs="Arial"/>
          <w:sz w:val="22"/>
          <w:szCs w:val="22"/>
          <w:lang w:val="fr-CA"/>
        </w:rPr>
        <w:t>grille</w:t>
      </w:r>
      <w:r w:rsidR="0084472F" w:rsidRPr="005340E1">
        <w:rPr>
          <w:rFonts w:ascii="Arial" w:hAnsi="Arial" w:cs="Arial"/>
          <w:sz w:val="22"/>
          <w:szCs w:val="22"/>
          <w:lang w:val="fr-CA"/>
        </w:rPr>
        <w:t xml:space="preserve"> ATR</w:t>
      </w:r>
      <w:r w:rsidR="00DE1536">
        <w:rPr>
          <w:rFonts w:ascii="Arial" w:hAnsi="Arial" w:cs="Arial"/>
          <w:sz w:val="22"/>
          <w:szCs w:val="22"/>
          <w:vertAlign w:val="superscript"/>
          <w:lang w:val="fr-CA"/>
        </w:rPr>
        <w:t>©</w:t>
      </w:r>
      <w:r w:rsidR="00DE1536">
        <w:rPr>
          <w:rFonts w:ascii="Arial" w:hAnsi="Arial" w:cs="Arial"/>
          <w:sz w:val="22"/>
          <w:szCs w:val="22"/>
          <w:lang w:val="fr-CA"/>
        </w:rPr>
        <w:t>, d</w:t>
      </w:r>
      <w:r w:rsidR="000D76D3" w:rsidRPr="005340E1">
        <w:rPr>
          <w:rFonts w:ascii="Arial" w:hAnsi="Arial" w:cs="Arial"/>
          <w:sz w:val="22"/>
          <w:szCs w:val="22"/>
          <w:lang w:val="fr-CA"/>
        </w:rPr>
        <w:t>e concert avec le jugement clinique et d’autres méthodes de prise de décision</w:t>
      </w:r>
      <w:r w:rsidR="00DE1536">
        <w:rPr>
          <w:rFonts w:ascii="Arial" w:hAnsi="Arial" w:cs="Arial"/>
          <w:sz w:val="22"/>
          <w:szCs w:val="22"/>
          <w:lang w:val="fr-CA"/>
        </w:rPr>
        <w:t>s,</w:t>
      </w:r>
      <w:r w:rsidR="000D76D3" w:rsidRPr="005340E1">
        <w:rPr>
          <w:rFonts w:ascii="Arial" w:hAnsi="Arial" w:cs="Arial"/>
          <w:sz w:val="22"/>
          <w:szCs w:val="22"/>
          <w:lang w:val="fr-CA"/>
        </w:rPr>
        <w:t xml:space="preserve"> </w:t>
      </w:r>
      <w:r w:rsidRPr="005340E1">
        <w:rPr>
          <w:rFonts w:ascii="Arial" w:hAnsi="Arial" w:cs="Arial"/>
          <w:sz w:val="22"/>
          <w:szCs w:val="22"/>
          <w:lang w:val="fr-CA"/>
        </w:rPr>
        <w:t>présente de nombreux avantage</w:t>
      </w:r>
      <w:r w:rsidR="003513D3">
        <w:rPr>
          <w:rFonts w:ascii="Arial" w:hAnsi="Arial" w:cs="Arial"/>
          <w:sz w:val="22"/>
          <w:szCs w:val="22"/>
          <w:lang w:val="fr-CA"/>
        </w:rPr>
        <w:t>s</w:t>
      </w:r>
      <w:r w:rsidR="00A10933" w:rsidRPr="005340E1">
        <w:rPr>
          <w:rFonts w:ascii="Arial" w:hAnsi="Arial" w:cs="Arial"/>
          <w:sz w:val="22"/>
          <w:szCs w:val="22"/>
          <w:lang w:val="fr-CA"/>
        </w:rPr>
        <w:t xml:space="preserve">. </w:t>
      </w:r>
      <w:r w:rsidR="0084472F" w:rsidRPr="005340E1">
        <w:rPr>
          <w:rFonts w:ascii="Arial" w:hAnsi="Arial" w:cs="Arial"/>
          <w:sz w:val="22"/>
          <w:szCs w:val="22"/>
          <w:lang w:val="fr-CA"/>
        </w:rPr>
        <w:t>L</w:t>
      </w:r>
      <w:r w:rsidR="00492840" w:rsidRPr="005340E1">
        <w:rPr>
          <w:rFonts w:ascii="Arial" w:hAnsi="Arial" w:cs="Arial"/>
          <w:sz w:val="22"/>
          <w:szCs w:val="22"/>
          <w:lang w:val="fr-CA"/>
        </w:rPr>
        <w:t xml:space="preserve">’expérience </w:t>
      </w:r>
      <w:r w:rsidR="0084472F" w:rsidRPr="005340E1">
        <w:rPr>
          <w:rFonts w:ascii="Arial" w:hAnsi="Arial" w:cs="Arial"/>
          <w:sz w:val="22"/>
          <w:szCs w:val="22"/>
          <w:lang w:val="fr-CA"/>
        </w:rPr>
        <w:t xml:space="preserve">clinique et le jugement professionnel devraient </w:t>
      </w:r>
      <w:r w:rsidR="002614D4" w:rsidRPr="005340E1">
        <w:rPr>
          <w:rFonts w:ascii="Arial" w:hAnsi="Arial" w:cs="Arial"/>
          <w:sz w:val="22"/>
          <w:szCs w:val="22"/>
          <w:lang w:val="fr-CA"/>
        </w:rPr>
        <w:t xml:space="preserve">être et seront toujours une part essentielle de </w:t>
      </w:r>
      <w:r w:rsidR="002838CD" w:rsidRPr="005340E1">
        <w:rPr>
          <w:rFonts w:ascii="Arial" w:hAnsi="Arial" w:cs="Arial"/>
          <w:sz w:val="22"/>
          <w:szCs w:val="22"/>
          <w:lang w:val="fr-CA"/>
        </w:rPr>
        <w:t xml:space="preserve">l’identification de clients qui sont prêts à faire la transition </w:t>
      </w:r>
      <w:r w:rsidR="006C5E1F" w:rsidRPr="005340E1">
        <w:rPr>
          <w:rFonts w:ascii="Arial" w:hAnsi="Arial" w:cs="Arial"/>
          <w:sz w:val="22"/>
          <w:szCs w:val="22"/>
          <w:lang w:val="fr-CA"/>
        </w:rPr>
        <w:t xml:space="preserve">des </w:t>
      </w:r>
      <w:r w:rsidR="003513D3">
        <w:rPr>
          <w:rFonts w:ascii="Arial" w:hAnsi="Arial" w:cs="Arial"/>
          <w:sz w:val="22"/>
          <w:szCs w:val="22"/>
          <w:lang w:val="fr-CA"/>
        </w:rPr>
        <w:t xml:space="preserve">SCTI </w:t>
      </w:r>
      <w:r w:rsidR="006C5E1F" w:rsidRPr="005340E1">
        <w:rPr>
          <w:rFonts w:ascii="Arial" w:hAnsi="Arial" w:cs="Arial"/>
          <w:sz w:val="22"/>
          <w:szCs w:val="22"/>
          <w:lang w:val="fr-CA"/>
        </w:rPr>
        <w:t>vers des services moins intensifs</w:t>
      </w:r>
      <w:r w:rsidR="00A10933" w:rsidRPr="005340E1">
        <w:rPr>
          <w:rFonts w:ascii="Arial" w:hAnsi="Arial" w:cs="Arial"/>
          <w:sz w:val="22"/>
          <w:szCs w:val="22"/>
          <w:lang w:val="fr-CA"/>
        </w:rPr>
        <w:t xml:space="preserve">. </w:t>
      </w:r>
      <w:r w:rsidR="00492840" w:rsidRPr="005340E1">
        <w:rPr>
          <w:rFonts w:ascii="Arial" w:hAnsi="Arial" w:cs="Arial"/>
          <w:sz w:val="22"/>
          <w:szCs w:val="22"/>
          <w:lang w:val="fr-CA"/>
        </w:rPr>
        <w:t xml:space="preserve">Toutefois, </w:t>
      </w:r>
      <w:r w:rsidR="006C5E1F" w:rsidRPr="005340E1">
        <w:rPr>
          <w:rFonts w:ascii="Arial" w:hAnsi="Arial" w:cs="Arial"/>
          <w:sz w:val="22"/>
          <w:szCs w:val="22"/>
          <w:lang w:val="fr-CA"/>
        </w:rPr>
        <w:t>il faut se servir de l’expérience clinique et du</w:t>
      </w:r>
      <w:r w:rsidR="00492840" w:rsidRPr="005340E1">
        <w:rPr>
          <w:rFonts w:ascii="Arial" w:hAnsi="Arial" w:cs="Arial"/>
          <w:sz w:val="22"/>
          <w:szCs w:val="22"/>
          <w:lang w:val="fr-CA"/>
        </w:rPr>
        <w:t xml:space="preserve"> jugement professionnel </w:t>
      </w:r>
      <w:r w:rsidR="003513D3">
        <w:rPr>
          <w:rFonts w:ascii="Arial" w:hAnsi="Arial" w:cs="Arial"/>
          <w:sz w:val="22"/>
          <w:szCs w:val="22"/>
          <w:lang w:val="fr-CA"/>
        </w:rPr>
        <w:t>de concert avec d</w:t>
      </w:r>
      <w:r w:rsidR="007E2571" w:rsidRPr="005340E1">
        <w:rPr>
          <w:rFonts w:ascii="Arial" w:hAnsi="Arial" w:cs="Arial"/>
          <w:sz w:val="22"/>
          <w:szCs w:val="22"/>
          <w:lang w:val="fr-CA"/>
        </w:rPr>
        <w:t xml:space="preserve">es mesures normalisées de grande qualité pour améliorer les évaluations de la </w:t>
      </w:r>
      <w:r w:rsidR="002614D4" w:rsidRPr="005340E1">
        <w:rPr>
          <w:rFonts w:ascii="Arial" w:hAnsi="Arial" w:cs="Arial"/>
          <w:sz w:val="22"/>
          <w:szCs w:val="22"/>
          <w:lang w:val="fr-CA"/>
        </w:rPr>
        <w:t>préparation d’un client à la transition</w:t>
      </w:r>
      <w:r w:rsidR="00A10933" w:rsidRPr="005340E1">
        <w:rPr>
          <w:rFonts w:ascii="Arial" w:hAnsi="Arial" w:cs="Arial"/>
          <w:sz w:val="22"/>
          <w:szCs w:val="22"/>
          <w:lang w:val="fr-CA"/>
        </w:rPr>
        <w:t>.</w:t>
      </w:r>
      <w:r w:rsidR="00A10933" w:rsidRPr="005340E1">
        <w:rPr>
          <w:rFonts w:ascii="Arial" w:hAnsi="Arial" w:cs="Arial"/>
          <w:b/>
          <w:i/>
          <w:sz w:val="22"/>
          <w:szCs w:val="22"/>
          <w:lang w:val="fr-CA"/>
        </w:rPr>
        <w:t xml:space="preserve"> </w:t>
      </w:r>
      <w:r w:rsidR="00492840" w:rsidRPr="005340E1">
        <w:rPr>
          <w:rFonts w:ascii="Arial" w:hAnsi="Arial" w:cs="Arial"/>
          <w:b/>
          <w:i/>
          <w:sz w:val="22"/>
          <w:szCs w:val="22"/>
          <w:lang w:val="fr-CA"/>
        </w:rPr>
        <w:t xml:space="preserve">Le but n’est pas de remplacer le jugement clinique mais d’améliorer ce jugement en utilisant la </w:t>
      </w:r>
      <w:r w:rsidR="0028735C" w:rsidRPr="005340E1">
        <w:rPr>
          <w:rFonts w:ascii="Arial" w:hAnsi="Arial" w:cs="Arial"/>
          <w:b/>
          <w:i/>
          <w:sz w:val="22"/>
          <w:szCs w:val="22"/>
          <w:lang w:val="fr-CA"/>
        </w:rPr>
        <w:t xml:space="preserve">grille </w:t>
      </w:r>
      <w:r w:rsidR="00F56908" w:rsidRPr="005340E1">
        <w:rPr>
          <w:rFonts w:ascii="Arial" w:hAnsi="Arial" w:cs="Arial"/>
          <w:b/>
          <w:i/>
          <w:sz w:val="22"/>
          <w:szCs w:val="22"/>
          <w:lang w:val="fr-CA"/>
        </w:rPr>
        <w:t>ATR</w:t>
      </w:r>
      <w:r w:rsidR="00F56908" w:rsidRPr="005340E1">
        <w:rPr>
          <w:rFonts w:ascii="Arial" w:hAnsi="Arial" w:cs="Arial"/>
          <w:b/>
          <w:i/>
          <w:sz w:val="22"/>
          <w:szCs w:val="22"/>
          <w:vertAlign w:val="superscript"/>
          <w:lang w:val="fr-CA"/>
        </w:rPr>
        <w:t>©</w:t>
      </w:r>
      <w:r w:rsidR="00A10933" w:rsidRPr="005340E1">
        <w:rPr>
          <w:rFonts w:ascii="Arial" w:hAnsi="Arial" w:cs="Arial"/>
          <w:b/>
          <w:i/>
          <w:sz w:val="22"/>
          <w:szCs w:val="22"/>
          <w:lang w:val="fr-CA"/>
        </w:rPr>
        <w:t>.</w:t>
      </w:r>
    </w:p>
    <w:p w14:paraId="285C6528" w14:textId="6E6EABA5" w:rsidR="00A10933" w:rsidRPr="005340E1" w:rsidRDefault="0028735C" w:rsidP="00A10933">
      <w:pPr>
        <w:spacing w:after="120"/>
        <w:ind w:firstLine="360"/>
        <w:rPr>
          <w:rFonts w:ascii="Arial" w:hAnsi="Arial" w:cs="Arial"/>
          <w:sz w:val="22"/>
          <w:szCs w:val="22"/>
          <w:lang w:val="fr-CA"/>
        </w:rPr>
      </w:pPr>
      <w:r w:rsidRPr="005340E1">
        <w:rPr>
          <w:rFonts w:ascii="Arial" w:hAnsi="Arial" w:cs="Arial"/>
          <w:sz w:val="22"/>
          <w:szCs w:val="22"/>
          <w:lang w:val="fr-CA"/>
        </w:rPr>
        <w:t xml:space="preserve">La grille </w:t>
      </w:r>
      <w:r w:rsidR="00F56908" w:rsidRPr="005340E1">
        <w:rPr>
          <w:rFonts w:ascii="Arial" w:hAnsi="Arial" w:cs="Arial"/>
          <w:sz w:val="22"/>
          <w:szCs w:val="22"/>
          <w:lang w:val="fr-CA"/>
        </w:rPr>
        <w:t>ATR</w:t>
      </w:r>
      <w:r w:rsidR="00F56908" w:rsidRPr="005340E1">
        <w:rPr>
          <w:rFonts w:ascii="Arial" w:hAnsi="Arial" w:cs="Arial"/>
          <w:sz w:val="22"/>
          <w:szCs w:val="22"/>
          <w:vertAlign w:val="superscript"/>
          <w:lang w:val="fr-CA"/>
        </w:rPr>
        <w:t xml:space="preserve">© </w:t>
      </w:r>
      <w:r w:rsidR="00A10933" w:rsidRPr="005340E1">
        <w:rPr>
          <w:rFonts w:ascii="Arial" w:hAnsi="Arial" w:cs="Arial"/>
          <w:sz w:val="22"/>
          <w:szCs w:val="22"/>
          <w:lang w:val="fr-CA"/>
        </w:rPr>
        <w:t>a</w:t>
      </w:r>
      <w:r w:rsidRPr="005340E1">
        <w:rPr>
          <w:rFonts w:ascii="Arial" w:hAnsi="Arial" w:cs="Arial"/>
          <w:sz w:val="22"/>
          <w:szCs w:val="22"/>
          <w:lang w:val="fr-CA"/>
        </w:rPr>
        <w:t xml:space="preserve"> la capacité</w:t>
      </w:r>
      <w:r w:rsidR="006C5E1F" w:rsidRPr="005340E1">
        <w:rPr>
          <w:rFonts w:ascii="Arial" w:hAnsi="Arial" w:cs="Arial"/>
          <w:sz w:val="22"/>
          <w:szCs w:val="22"/>
          <w:lang w:val="fr-CA"/>
        </w:rPr>
        <w:t xml:space="preserve"> de formaliser et de codifier</w:t>
      </w:r>
      <w:r w:rsidR="00C1447D" w:rsidRPr="005340E1">
        <w:rPr>
          <w:rFonts w:ascii="Arial" w:hAnsi="Arial" w:cs="Arial"/>
          <w:sz w:val="22"/>
          <w:szCs w:val="22"/>
          <w:lang w:val="fr-CA"/>
        </w:rPr>
        <w:t xml:space="preserve"> le processus décisionnel lié à la transition en guidant les ECTI </w:t>
      </w:r>
      <w:r w:rsidR="003513D3">
        <w:rPr>
          <w:rFonts w:ascii="Arial" w:hAnsi="Arial" w:cs="Arial"/>
          <w:sz w:val="22"/>
          <w:szCs w:val="22"/>
          <w:lang w:val="fr-CA"/>
        </w:rPr>
        <w:t>sur les</w:t>
      </w:r>
      <w:r w:rsidR="00FE1426" w:rsidRPr="005340E1">
        <w:rPr>
          <w:rFonts w:ascii="Arial" w:hAnsi="Arial" w:cs="Arial"/>
          <w:sz w:val="22"/>
          <w:szCs w:val="22"/>
          <w:lang w:val="fr-CA"/>
        </w:rPr>
        <w:t xml:space="preserve"> informations pertine</w:t>
      </w:r>
      <w:r w:rsidR="003513D3">
        <w:rPr>
          <w:rFonts w:ascii="Arial" w:hAnsi="Arial" w:cs="Arial"/>
          <w:sz w:val="22"/>
          <w:szCs w:val="22"/>
          <w:lang w:val="fr-CA"/>
        </w:rPr>
        <w:t xml:space="preserve">ntes à prendre en considération </w:t>
      </w:r>
      <w:r w:rsidR="00FE1426" w:rsidRPr="005340E1">
        <w:rPr>
          <w:rFonts w:ascii="Arial" w:hAnsi="Arial" w:cs="Arial"/>
          <w:sz w:val="22"/>
          <w:szCs w:val="22"/>
          <w:lang w:val="fr-CA"/>
        </w:rPr>
        <w:t xml:space="preserve">concernant la transition vers des services moins intensifs, </w:t>
      </w:r>
      <w:r w:rsidR="00755FA5" w:rsidRPr="005340E1">
        <w:rPr>
          <w:rFonts w:ascii="Arial" w:hAnsi="Arial" w:cs="Arial"/>
          <w:sz w:val="22"/>
          <w:szCs w:val="22"/>
          <w:lang w:val="fr-CA"/>
        </w:rPr>
        <w:t xml:space="preserve">et cela pourrait être particulièrement important pour </w:t>
      </w:r>
      <w:r w:rsidR="00763F35" w:rsidRPr="005340E1">
        <w:rPr>
          <w:rFonts w:ascii="Arial" w:hAnsi="Arial" w:cs="Arial"/>
          <w:sz w:val="22"/>
          <w:szCs w:val="22"/>
          <w:lang w:val="fr-CA"/>
        </w:rPr>
        <w:t xml:space="preserve">les ECTI et </w:t>
      </w:r>
      <w:r w:rsidR="00755FA5" w:rsidRPr="005340E1">
        <w:rPr>
          <w:rFonts w:ascii="Arial" w:hAnsi="Arial" w:cs="Arial"/>
          <w:sz w:val="22"/>
          <w:szCs w:val="22"/>
          <w:lang w:val="fr-CA"/>
        </w:rPr>
        <w:t xml:space="preserve">les </w:t>
      </w:r>
      <w:r w:rsidR="00763F35" w:rsidRPr="005340E1">
        <w:rPr>
          <w:rFonts w:ascii="Arial" w:hAnsi="Arial" w:cs="Arial"/>
          <w:sz w:val="22"/>
          <w:szCs w:val="22"/>
          <w:lang w:val="fr-CA"/>
        </w:rPr>
        <w:t>membres du personnel nouveaux et/ou inexpérimentés</w:t>
      </w:r>
      <w:r w:rsidR="00A10933" w:rsidRPr="005340E1">
        <w:rPr>
          <w:rFonts w:ascii="Arial" w:hAnsi="Arial" w:cs="Arial"/>
          <w:sz w:val="22"/>
          <w:szCs w:val="22"/>
          <w:lang w:val="fr-CA"/>
        </w:rPr>
        <w:t xml:space="preserve">. </w:t>
      </w:r>
      <w:r w:rsidR="00654B2B" w:rsidRPr="005340E1">
        <w:rPr>
          <w:rFonts w:ascii="Arial" w:hAnsi="Arial" w:cs="Arial"/>
          <w:sz w:val="22"/>
          <w:szCs w:val="22"/>
          <w:lang w:val="fr-CA"/>
        </w:rPr>
        <w:t>Par ailleurs, une mesure normalisée telle que la grille ATR</w:t>
      </w:r>
      <w:r w:rsidR="00654B2B" w:rsidRPr="005340E1">
        <w:rPr>
          <w:rFonts w:ascii="Arial" w:hAnsi="Arial" w:cs="Arial"/>
          <w:sz w:val="22"/>
          <w:szCs w:val="22"/>
          <w:vertAlign w:val="superscript"/>
          <w:lang w:val="fr-CA"/>
        </w:rPr>
        <w:t>©</w:t>
      </w:r>
      <w:r w:rsidR="00654B2B" w:rsidRPr="005340E1">
        <w:rPr>
          <w:rFonts w:ascii="Arial" w:hAnsi="Arial" w:cs="Arial"/>
          <w:sz w:val="22"/>
          <w:szCs w:val="22"/>
          <w:lang w:val="fr-CA"/>
        </w:rPr>
        <w:t xml:space="preserve"> </w:t>
      </w:r>
      <w:r w:rsidR="003E3B08" w:rsidRPr="005340E1">
        <w:rPr>
          <w:rFonts w:ascii="Arial" w:hAnsi="Arial" w:cs="Arial"/>
          <w:sz w:val="22"/>
          <w:szCs w:val="22"/>
          <w:lang w:val="fr-CA"/>
        </w:rPr>
        <w:t xml:space="preserve">pourrait réduire la subjectivité et le </w:t>
      </w:r>
      <w:r w:rsidR="00755FA5" w:rsidRPr="005340E1">
        <w:rPr>
          <w:rFonts w:ascii="Arial" w:hAnsi="Arial" w:cs="Arial"/>
          <w:sz w:val="22"/>
          <w:szCs w:val="22"/>
          <w:lang w:val="fr-CA"/>
        </w:rPr>
        <w:t xml:space="preserve">biais inhérent </w:t>
      </w:r>
      <w:r w:rsidR="003E3B08" w:rsidRPr="005340E1">
        <w:rPr>
          <w:rFonts w:ascii="Arial" w:hAnsi="Arial" w:cs="Arial"/>
          <w:sz w:val="22"/>
          <w:szCs w:val="22"/>
          <w:lang w:val="fr-CA"/>
        </w:rPr>
        <w:t xml:space="preserve">au jugement clinique et à l’expérience </w:t>
      </w:r>
      <w:r w:rsidR="00195CA5" w:rsidRPr="005340E1">
        <w:rPr>
          <w:rFonts w:ascii="Arial" w:hAnsi="Arial" w:cs="Arial"/>
          <w:sz w:val="22"/>
          <w:szCs w:val="22"/>
          <w:lang w:val="fr-CA"/>
        </w:rPr>
        <w:t>de pratique</w:t>
      </w:r>
      <w:r w:rsidR="0023654D" w:rsidRPr="005340E1">
        <w:rPr>
          <w:rFonts w:ascii="Arial" w:hAnsi="Arial" w:cs="Arial"/>
          <w:sz w:val="22"/>
          <w:szCs w:val="22"/>
          <w:lang w:val="fr-CA"/>
        </w:rPr>
        <w:t xml:space="preserve">. </w:t>
      </w:r>
      <w:r w:rsidR="00654B2B" w:rsidRPr="005340E1">
        <w:rPr>
          <w:rFonts w:ascii="Arial" w:hAnsi="Arial" w:cs="Arial"/>
          <w:sz w:val="22"/>
          <w:szCs w:val="22"/>
          <w:lang w:val="fr-CA"/>
        </w:rPr>
        <w:t>De plus, la grille ATR</w:t>
      </w:r>
      <w:r w:rsidR="00654B2B" w:rsidRPr="005340E1">
        <w:rPr>
          <w:rFonts w:ascii="Arial" w:hAnsi="Arial" w:cs="Arial"/>
          <w:sz w:val="22"/>
          <w:szCs w:val="22"/>
          <w:vertAlign w:val="superscript"/>
          <w:lang w:val="fr-CA"/>
        </w:rPr>
        <w:t>©</w:t>
      </w:r>
      <w:r w:rsidR="00654B2B" w:rsidRPr="005340E1">
        <w:rPr>
          <w:rFonts w:ascii="Arial" w:hAnsi="Arial" w:cs="Arial"/>
          <w:sz w:val="22"/>
          <w:szCs w:val="22"/>
          <w:lang w:val="fr-CA"/>
        </w:rPr>
        <w:t xml:space="preserve"> peut faciliter la communication et la responsabilisation parmi les membres du personnel </w:t>
      </w:r>
      <w:r w:rsidR="006C5E1F" w:rsidRPr="005340E1">
        <w:rPr>
          <w:rFonts w:ascii="Arial" w:hAnsi="Arial" w:cs="Arial"/>
          <w:sz w:val="22"/>
          <w:szCs w:val="22"/>
          <w:lang w:val="fr-CA"/>
        </w:rPr>
        <w:t>des équipes et entre les équipes et leur</w:t>
      </w:r>
      <w:r w:rsidR="00755FA5" w:rsidRPr="005340E1">
        <w:rPr>
          <w:rFonts w:ascii="Arial" w:hAnsi="Arial" w:cs="Arial"/>
          <w:sz w:val="22"/>
          <w:szCs w:val="22"/>
          <w:lang w:val="fr-CA"/>
        </w:rPr>
        <w:t xml:space="preserve">s organismes respectifs </w:t>
      </w:r>
      <w:r w:rsidR="00195CA5" w:rsidRPr="005340E1">
        <w:rPr>
          <w:rFonts w:ascii="Arial" w:hAnsi="Arial" w:cs="Arial"/>
          <w:sz w:val="22"/>
          <w:szCs w:val="22"/>
          <w:lang w:val="fr-CA"/>
        </w:rPr>
        <w:t xml:space="preserve">grâce aux </w:t>
      </w:r>
      <w:r w:rsidR="00755FA5" w:rsidRPr="005340E1">
        <w:rPr>
          <w:rFonts w:ascii="Arial" w:hAnsi="Arial" w:cs="Arial"/>
          <w:sz w:val="22"/>
          <w:szCs w:val="22"/>
          <w:lang w:val="fr-CA"/>
        </w:rPr>
        <w:t>informations quantitatives</w:t>
      </w:r>
      <w:r w:rsidR="00195CA5" w:rsidRPr="005340E1">
        <w:rPr>
          <w:rFonts w:ascii="Arial" w:hAnsi="Arial" w:cs="Arial"/>
          <w:sz w:val="22"/>
          <w:szCs w:val="22"/>
          <w:lang w:val="fr-CA"/>
        </w:rPr>
        <w:t xml:space="preserve"> qui peuvent être intégrées dans les évaluations et les rapports</w:t>
      </w:r>
      <w:r w:rsidR="00A10933" w:rsidRPr="005340E1">
        <w:rPr>
          <w:rFonts w:ascii="Arial" w:hAnsi="Arial" w:cs="Arial"/>
          <w:sz w:val="22"/>
          <w:szCs w:val="22"/>
          <w:lang w:val="fr-CA"/>
        </w:rPr>
        <w:t xml:space="preserve">. </w:t>
      </w:r>
      <w:r w:rsidR="00654B2B" w:rsidRPr="005340E1">
        <w:rPr>
          <w:rFonts w:ascii="Arial" w:hAnsi="Arial" w:cs="Arial"/>
          <w:sz w:val="22"/>
          <w:szCs w:val="22"/>
          <w:lang w:val="fr-CA"/>
        </w:rPr>
        <w:t>La grille ATR</w:t>
      </w:r>
      <w:r w:rsidR="00654B2B" w:rsidRPr="005340E1">
        <w:rPr>
          <w:rFonts w:ascii="Arial" w:hAnsi="Arial" w:cs="Arial"/>
          <w:sz w:val="22"/>
          <w:szCs w:val="22"/>
          <w:vertAlign w:val="superscript"/>
          <w:lang w:val="fr-CA"/>
        </w:rPr>
        <w:t>©</w:t>
      </w:r>
      <w:r w:rsidR="00654B2B" w:rsidRPr="005340E1">
        <w:rPr>
          <w:rFonts w:ascii="Arial" w:hAnsi="Arial" w:cs="Arial"/>
          <w:sz w:val="22"/>
          <w:szCs w:val="22"/>
          <w:lang w:val="fr-CA"/>
        </w:rPr>
        <w:t xml:space="preserve"> pourrait être utilisée comme outil clinique pour suivre les progrès des clients</w:t>
      </w:r>
      <w:r w:rsidR="00717ABB" w:rsidRPr="005340E1">
        <w:rPr>
          <w:rFonts w:ascii="Arial" w:hAnsi="Arial" w:cs="Arial"/>
          <w:sz w:val="22"/>
          <w:szCs w:val="22"/>
          <w:lang w:val="fr-CA"/>
        </w:rPr>
        <w:t xml:space="preserve">, planifier les cas et en tant qu’outil administratif </w:t>
      </w:r>
      <w:r w:rsidR="007E2571" w:rsidRPr="005340E1">
        <w:rPr>
          <w:rFonts w:ascii="Arial" w:hAnsi="Arial" w:cs="Arial"/>
          <w:sz w:val="22"/>
          <w:szCs w:val="22"/>
          <w:lang w:val="fr-CA"/>
        </w:rPr>
        <w:t xml:space="preserve">et/ou </w:t>
      </w:r>
      <w:r w:rsidR="003E3B08" w:rsidRPr="005340E1">
        <w:rPr>
          <w:rFonts w:ascii="Arial" w:hAnsi="Arial" w:cs="Arial"/>
          <w:sz w:val="22"/>
          <w:szCs w:val="22"/>
          <w:lang w:val="fr-CA"/>
        </w:rPr>
        <w:t xml:space="preserve">de surveillance </w:t>
      </w:r>
      <w:r w:rsidR="006C5E1F" w:rsidRPr="005340E1">
        <w:rPr>
          <w:rFonts w:ascii="Arial" w:hAnsi="Arial" w:cs="Arial"/>
          <w:sz w:val="22"/>
          <w:szCs w:val="22"/>
          <w:lang w:val="fr-CA"/>
        </w:rPr>
        <w:t>pour orienter les objectifs de traitement et surveiller le rendement des ECTI</w:t>
      </w:r>
      <w:r w:rsidR="00A10933" w:rsidRPr="005340E1">
        <w:rPr>
          <w:rFonts w:ascii="Arial" w:hAnsi="Arial" w:cs="Arial"/>
          <w:sz w:val="22"/>
          <w:szCs w:val="22"/>
          <w:lang w:val="fr-CA"/>
        </w:rPr>
        <w:t xml:space="preserve">. </w:t>
      </w:r>
      <w:r w:rsidR="006C5E1F" w:rsidRPr="005340E1">
        <w:rPr>
          <w:rFonts w:ascii="Arial" w:hAnsi="Arial" w:cs="Arial"/>
          <w:sz w:val="22"/>
          <w:szCs w:val="22"/>
          <w:lang w:val="fr-CA"/>
        </w:rPr>
        <w:t>De plus,</w:t>
      </w:r>
      <w:r w:rsidR="00717ABB" w:rsidRPr="005340E1">
        <w:rPr>
          <w:rFonts w:ascii="Arial" w:hAnsi="Arial" w:cs="Arial"/>
          <w:sz w:val="22"/>
          <w:szCs w:val="22"/>
          <w:lang w:val="fr-CA"/>
        </w:rPr>
        <w:t xml:space="preserve"> les scores à la grille ATR</w:t>
      </w:r>
      <w:r w:rsidR="00717ABB" w:rsidRPr="005340E1">
        <w:rPr>
          <w:rFonts w:ascii="Arial" w:hAnsi="Arial" w:cs="Arial"/>
          <w:sz w:val="22"/>
          <w:szCs w:val="22"/>
          <w:vertAlign w:val="superscript"/>
          <w:lang w:val="fr-CA"/>
        </w:rPr>
        <w:t>©</w:t>
      </w:r>
      <w:r w:rsidR="00A10933" w:rsidRPr="005340E1">
        <w:rPr>
          <w:rFonts w:ascii="Arial" w:hAnsi="Arial" w:cs="Arial"/>
          <w:sz w:val="22"/>
          <w:szCs w:val="22"/>
          <w:lang w:val="fr-CA"/>
        </w:rPr>
        <w:t xml:space="preserve"> </w:t>
      </w:r>
      <w:r w:rsidR="003E3B08" w:rsidRPr="005340E1">
        <w:rPr>
          <w:rFonts w:ascii="Arial" w:hAnsi="Arial" w:cs="Arial"/>
          <w:sz w:val="22"/>
          <w:szCs w:val="22"/>
          <w:lang w:val="fr-CA"/>
        </w:rPr>
        <w:t>peuvent être utilisés par les organismes ainsi que les</w:t>
      </w:r>
      <w:r w:rsidR="003B3C48" w:rsidRPr="005340E1">
        <w:rPr>
          <w:rFonts w:ascii="Arial" w:hAnsi="Arial" w:cs="Arial"/>
          <w:sz w:val="22"/>
          <w:szCs w:val="22"/>
          <w:lang w:val="fr-CA"/>
        </w:rPr>
        <w:t xml:space="preserve"> </w:t>
      </w:r>
      <w:r w:rsidR="00195CA5" w:rsidRPr="005340E1">
        <w:rPr>
          <w:rFonts w:ascii="Arial" w:hAnsi="Arial" w:cs="Arial"/>
          <w:sz w:val="22"/>
          <w:szCs w:val="22"/>
          <w:lang w:val="fr-CA"/>
        </w:rPr>
        <w:t xml:space="preserve">autorités locales et provinciales en matière de santé mentale </w:t>
      </w:r>
      <w:r w:rsidR="003E3B08" w:rsidRPr="005340E1">
        <w:rPr>
          <w:rFonts w:ascii="Arial" w:hAnsi="Arial" w:cs="Arial"/>
          <w:sz w:val="22"/>
          <w:szCs w:val="22"/>
          <w:lang w:val="fr-CA"/>
        </w:rPr>
        <w:t>pour établir des normes sur la</w:t>
      </w:r>
      <w:r w:rsidR="00D84F16" w:rsidRPr="005340E1">
        <w:rPr>
          <w:rFonts w:ascii="Arial" w:hAnsi="Arial" w:cs="Arial"/>
          <w:sz w:val="22"/>
          <w:szCs w:val="22"/>
          <w:lang w:val="fr-CA"/>
        </w:rPr>
        <w:t xml:space="preserve"> transition des clients des </w:t>
      </w:r>
      <w:r w:rsidR="003513D3">
        <w:rPr>
          <w:rFonts w:ascii="Arial" w:hAnsi="Arial" w:cs="Arial"/>
          <w:sz w:val="22"/>
          <w:szCs w:val="22"/>
          <w:lang w:val="fr-CA"/>
        </w:rPr>
        <w:t xml:space="preserve">SCTI. </w:t>
      </w:r>
      <w:r w:rsidR="00F60644" w:rsidRPr="005340E1">
        <w:rPr>
          <w:rFonts w:ascii="Arial" w:hAnsi="Arial" w:cs="Arial"/>
          <w:sz w:val="22"/>
          <w:szCs w:val="22"/>
          <w:lang w:val="fr-CA"/>
        </w:rPr>
        <w:t>Enfin</w:t>
      </w:r>
      <w:r w:rsidR="00A10933" w:rsidRPr="005340E1">
        <w:rPr>
          <w:rFonts w:ascii="Arial" w:hAnsi="Arial" w:cs="Arial"/>
          <w:sz w:val="22"/>
          <w:szCs w:val="22"/>
          <w:lang w:val="fr-CA"/>
        </w:rPr>
        <w:t xml:space="preserve">, </w:t>
      </w:r>
      <w:r w:rsidR="00F60644" w:rsidRPr="005340E1">
        <w:rPr>
          <w:rFonts w:ascii="Arial" w:hAnsi="Arial" w:cs="Arial"/>
          <w:sz w:val="22"/>
          <w:szCs w:val="22"/>
          <w:lang w:val="fr-CA"/>
        </w:rPr>
        <w:t>les mesures normalisées comme la grille ATR</w:t>
      </w:r>
      <w:r w:rsidR="00F60644" w:rsidRPr="005340E1">
        <w:rPr>
          <w:rFonts w:ascii="Arial" w:hAnsi="Arial" w:cs="Arial"/>
          <w:sz w:val="22"/>
          <w:szCs w:val="22"/>
          <w:vertAlign w:val="superscript"/>
          <w:lang w:val="fr-CA"/>
        </w:rPr>
        <w:t>©</w:t>
      </w:r>
      <w:r w:rsidR="00A10933" w:rsidRPr="005340E1">
        <w:rPr>
          <w:rFonts w:ascii="Arial" w:hAnsi="Arial" w:cs="Arial"/>
          <w:sz w:val="22"/>
          <w:szCs w:val="22"/>
          <w:lang w:val="fr-CA"/>
        </w:rPr>
        <w:t xml:space="preserve"> </w:t>
      </w:r>
      <w:r w:rsidR="00F60644" w:rsidRPr="005340E1">
        <w:rPr>
          <w:rFonts w:ascii="Arial" w:hAnsi="Arial" w:cs="Arial"/>
          <w:sz w:val="22"/>
          <w:szCs w:val="22"/>
          <w:lang w:val="fr-CA"/>
        </w:rPr>
        <w:t>permettent d’économiser de l’argent et du temps en ce qui concerne les évaluation subjectives, surtout</w:t>
      </w:r>
      <w:r w:rsidR="005C2FC5" w:rsidRPr="005340E1">
        <w:rPr>
          <w:rFonts w:ascii="Arial" w:hAnsi="Arial" w:cs="Arial"/>
          <w:sz w:val="22"/>
          <w:szCs w:val="22"/>
          <w:lang w:val="fr-CA"/>
        </w:rPr>
        <w:t xml:space="preserve"> lorsque ces évaluations demandent peu de formation ou d’effort</w:t>
      </w:r>
      <w:r w:rsidR="00A10933" w:rsidRPr="005340E1">
        <w:rPr>
          <w:rFonts w:ascii="Arial" w:hAnsi="Arial" w:cs="Arial"/>
          <w:sz w:val="22"/>
          <w:szCs w:val="22"/>
          <w:lang w:val="fr-CA"/>
        </w:rPr>
        <w:t>.</w:t>
      </w:r>
      <w:r w:rsidR="00A10933" w:rsidRPr="005340E1">
        <w:rPr>
          <w:rStyle w:val="FootnoteReference"/>
          <w:rFonts w:ascii="Arial" w:hAnsi="Arial" w:cs="Arial"/>
          <w:sz w:val="22"/>
          <w:szCs w:val="22"/>
          <w:lang w:val="fr-CA"/>
        </w:rPr>
        <w:footnoteReference w:id="16"/>
      </w:r>
      <w:r w:rsidR="00A10933" w:rsidRPr="005340E1">
        <w:rPr>
          <w:rFonts w:ascii="Arial" w:hAnsi="Arial" w:cs="Arial"/>
          <w:sz w:val="22"/>
          <w:szCs w:val="22"/>
          <w:lang w:val="fr-CA"/>
        </w:rPr>
        <w:t xml:space="preserve"> </w:t>
      </w:r>
    </w:p>
    <w:p w14:paraId="7BA18878" w14:textId="77777777" w:rsidR="00A10933" w:rsidRPr="005340E1" w:rsidRDefault="00C52B80" w:rsidP="00A10933">
      <w:pPr>
        <w:spacing w:after="120"/>
        <w:ind w:firstLine="360"/>
        <w:rPr>
          <w:rFonts w:ascii="Arial" w:hAnsi="Arial" w:cs="Arial"/>
          <w:sz w:val="22"/>
          <w:szCs w:val="22"/>
          <w:lang w:val="fr-CA"/>
        </w:rPr>
      </w:pPr>
      <w:r>
        <w:rPr>
          <w:rFonts w:ascii="Arial" w:hAnsi="Arial" w:cs="Arial"/>
          <w:sz w:val="22"/>
          <w:szCs w:val="22"/>
          <w:lang w:val="fr-CA"/>
        </w:rPr>
        <w:pict w14:anchorId="1D9BB92B">
          <v:shape id="_x0000_s2819" type="#_x0000_t32" style="position:absolute;left:0;text-align:left;margin-left:.75pt;margin-top:7.15pt;width:474pt;height:0;z-index:251669504" o:connectortype="straight" strokeweight="2pt"/>
        </w:pict>
      </w:r>
    </w:p>
    <w:p w14:paraId="7EFD54BB" w14:textId="11C18921" w:rsidR="00A10933" w:rsidRPr="005340E1" w:rsidRDefault="005C2FC5" w:rsidP="00A10933">
      <w:pPr>
        <w:spacing w:after="120"/>
        <w:rPr>
          <w:rFonts w:ascii="Arial" w:hAnsi="Arial" w:cs="Arial"/>
          <w:sz w:val="22"/>
          <w:szCs w:val="22"/>
          <w:highlight w:val="yellow"/>
          <w:lang w:val="fr-CA"/>
        </w:rPr>
      </w:pPr>
      <w:r w:rsidRPr="005340E1">
        <w:rPr>
          <w:rFonts w:ascii="Arial" w:hAnsi="Arial" w:cs="Arial"/>
          <w:b/>
          <w:i/>
          <w:sz w:val="22"/>
          <w:szCs w:val="22"/>
          <w:lang w:val="fr-CA"/>
        </w:rPr>
        <w:t xml:space="preserve">Comment ne pas utiliser la grille </w:t>
      </w:r>
      <w:r w:rsidR="00F56908" w:rsidRPr="005340E1">
        <w:rPr>
          <w:rFonts w:ascii="Arial" w:hAnsi="Arial" w:cs="Arial"/>
          <w:b/>
          <w:i/>
          <w:sz w:val="22"/>
          <w:szCs w:val="22"/>
          <w:lang w:val="fr-CA"/>
        </w:rPr>
        <w:t>ATR</w:t>
      </w:r>
      <w:r w:rsidR="00F56908" w:rsidRPr="005340E1">
        <w:rPr>
          <w:rFonts w:ascii="Arial" w:hAnsi="Arial" w:cs="Arial"/>
          <w:b/>
          <w:i/>
          <w:sz w:val="22"/>
          <w:szCs w:val="22"/>
          <w:vertAlign w:val="superscript"/>
          <w:lang w:val="fr-CA"/>
        </w:rPr>
        <w:t>©</w:t>
      </w:r>
    </w:p>
    <w:p w14:paraId="57A894ED" w14:textId="23BA7C99" w:rsidR="00E161A4" w:rsidRPr="005340E1" w:rsidRDefault="00295AF5" w:rsidP="00A10933">
      <w:pPr>
        <w:spacing w:after="120"/>
        <w:ind w:firstLine="360"/>
        <w:rPr>
          <w:rFonts w:ascii="Arial" w:hAnsi="Arial" w:cs="Arial"/>
          <w:lang w:val="fr-CA"/>
        </w:rPr>
      </w:pPr>
      <w:r w:rsidRPr="005340E1">
        <w:rPr>
          <w:rFonts w:ascii="Arial" w:hAnsi="Arial" w:cs="Arial"/>
          <w:sz w:val="22"/>
          <w:szCs w:val="22"/>
          <w:lang w:val="fr-CA"/>
        </w:rPr>
        <w:t xml:space="preserve">Il ne faut pas </w:t>
      </w:r>
      <w:r w:rsidRPr="00974091">
        <w:rPr>
          <w:rFonts w:ascii="Arial" w:hAnsi="Arial" w:cs="Arial"/>
          <w:sz w:val="22"/>
          <w:szCs w:val="22"/>
          <w:lang w:val="fr-CA"/>
        </w:rPr>
        <w:t>utiliser la grille ATR</w:t>
      </w:r>
      <w:r w:rsidRPr="00974091">
        <w:rPr>
          <w:rFonts w:ascii="Arial" w:hAnsi="Arial" w:cs="Arial"/>
          <w:sz w:val="22"/>
          <w:szCs w:val="22"/>
          <w:vertAlign w:val="superscript"/>
          <w:lang w:val="fr-CA"/>
        </w:rPr>
        <w:t>©</w:t>
      </w:r>
      <w:r w:rsidRPr="00974091">
        <w:rPr>
          <w:rFonts w:ascii="Arial" w:hAnsi="Arial" w:cs="Arial"/>
          <w:sz w:val="22"/>
          <w:szCs w:val="22"/>
          <w:lang w:val="fr-CA"/>
        </w:rPr>
        <w:t xml:space="preserve"> comme unique méthode </w:t>
      </w:r>
      <w:r w:rsidR="00D84F16" w:rsidRPr="00974091">
        <w:rPr>
          <w:rFonts w:ascii="Arial" w:hAnsi="Arial" w:cs="Arial"/>
          <w:sz w:val="22"/>
          <w:szCs w:val="22"/>
          <w:lang w:val="fr-CA"/>
        </w:rPr>
        <w:t xml:space="preserve">pour </w:t>
      </w:r>
      <w:r w:rsidR="00974091" w:rsidRPr="00974091">
        <w:rPr>
          <w:rFonts w:ascii="Arial" w:hAnsi="Arial" w:cs="Arial"/>
          <w:sz w:val="22"/>
          <w:szCs w:val="22"/>
          <w:lang w:val="fr-CA"/>
        </w:rPr>
        <w:t xml:space="preserve">prendre des </w:t>
      </w:r>
      <w:r w:rsidR="00D84F16" w:rsidRPr="00974091">
        <w:rPr>
          <w:rFonts w:ascii="Arial" w:hAnsi="Arial" w:cs="Arial"/>
          <w:sz w:val="22"/>
          <w:szCs w:val="22"/>
          <w:lang w:val="fr-CA"/>
        </w:rPr>
        <w:t xml:space="preserve">décisions sur la transition des clients. </w:t>
      </w:r>
      <w:r w:rsidRPr="00974091">
        <w:rPr>
          <w:rFonts w:ascii="Arial" w:hAnsi="Arial" w:cs="Arial"/>
          <w:sz w:val="22"/>
          <w:szCs w:val="22"/>
          <w:lang w:val="fr-CA"/>
        </w:rPr>
        <w:t>La grille ATR</w:t>
      </w:r>
      <w:r w:rsidRPr="00974091">
        <w:rPr>
          <w:rFonts w:ascii="Arial" w:hAnsi="Arial" w:cs="Arial"/>
          <w:sz w:val="22"/>
          <w:szCs w:val="22"/>
          <w:vertAlign w:val="superscript"/>
          <w:lang w:val="fr-CA"/>
        </w:rPr>
        <w:t>©</w:t>
      </w:r>
      <w:r w:rsidR="00974091" w:rsidRPr="00974091">
        <w:rPr>
          <w:rFonts w:ascii="Arial" w:hAnsi="Arial" w:cs="Arial"/>
          <w:sz w:val="22"/>
          <w:szCs w:val="22"/>
          <w:lang w:val="fr-CA"/>
        </w:rPr>
        <w:t xml:space="preserve"> devrait </w:t>
      </w:r>
      <w:r w:rsidRPr="00974091">
        <w:rPr>
          <w:rFonts w:ascii="Arial" w:hAnsi="Arial" w:cs="Arial"/>
          <w:sz w:val="22"/>
          <w:szCs w:val="22"/>
          <w:lang w:val="fr-CA"/>
        </w:rPr>
        <w:t xml:space="preserve">être utilisée de concert avec le jugement clinique et d’autres méthodes d’évaluation </w:t>
      </w:r>
      <w:r w:rsidR="009C42DC" w:rsidRPr="00974091">
        <w:rPr>
          <w:rFonts w:ascii="Arial" w:hAnsi="Arial" w:cs="Arial"/>
          <w:sz w:val="22"/>
          <w:szCs w:val="22"/>
          <w:lang w:val="fr-CA"/>
        </w:rPr>
        <w:t xml:space="preserve">pour </w:t>
      </w:r>
      <w:r w:rsidR="00195CA5" w:rsidRPr="00974091">
        <w:rPr>
          <w:rFonts w:ascii="Arial" w:hAnsi="Arial" w:cs="Arial"/>
          <w:sz w:val="22"/>
          <w:szCs w:val="22"/>
          <w:lang w:val="fr-CA"/>
        </w:rPr>
        <w:t xml:space="preserve">identifier les clients </w:t>
      </w:r>
      <w:r w:rsidR="00195CA5" w:rsidRPr="00974091">
        <w:rPr>
          <w:rFonts w:ascii="Arial" w:eastAsia="Calibri" w:hAnsi="Arial" w:cs="Arial"/>
          <w:sz w:val="22"/>
          <w:szCs w:val="22"/>
          <w:lang w:val="fr-CA"/>
        </w:rPr>
        <w:t>qui pourraient être prêts à faire la transition des SCTI vers des services moins intensifs</w:t>
      </w:r>
      <w:r w:rsidR="00A10933" w:rsidRPr="00974091">
        <w:rPr>
          <w:rFonts w:ascii="Arial" w:hAnsi="Arial" w:cs="Arial"/>
          <w:sz w:val="22"/>
          <w:szCs w:val="22"/>
          <w:lang w:val="fr-CA"/>
        </w:rPr>
        <w:t xml:space="preserve">. </w:t>
      </w:r>
      <w:r w:rsidRPr="00974091">
        <w:rPr>
          <w:rFonts w:ascii="Arial" w:hAnsi="Arial" w:cs="Arial"/>
          <w:sz w:val="22"/>
          <w:szCs w:val="22"/>
          <w:lang w:val="fr-CA"/>
        </w:rPr>
        <w:t>Mais surtout, la grille ATR</w:t>
      </w:r>
      <w:r w:rsidRPr="00974091">
        <w:rPr>
          <w:rFonts w:ascii="Arial" w:hAnsi="Arial" w:cs="Arial"/>
          <w:sz w:val="22"/>
          <w:szCs w:val="22"/>
          <w:vertAlign w:val="superscript"/>
          <w:lang w:val="fr-CA"/>
        </w:rPr>
        <w:t>©</w:t>
      </w:r>
      <w:r w:rsidRPr="00974091">
        <w:rPr>
          <w:rFonts w:ascii="Arial" w:hAnsi="Arial" w:cs="Arial"/>
          <w:sz w:val="22"/>
          <w:szCs w:val="22"/>
          <w:lang w:val="fr-CA"/>
        </w:rPr>
        <w:t xml:space="preserve"> n</w:t>
      </w:r>
      <w:r w:rsidR="00A10933" w:rsidRPr="00974091">
        <w:rPr>
          <w:rFonts w:ascii="Arial" w:hAnsi="Arial" w:cs="Arial"/>
          <w:sz w:val="22"/>
          <w:szCs w:val="22"/>
          <w:lang w:val="fr-CA"/>
        </w:rPr>
        <w:t>e</w:t>
      </w:r>
      <w:r w:rsidRPr="00974091">
        <w:rPr>
          <w:rFonts w:ascii="Arial" w:hAnsi="Arial" w:cs="Arial"/>
          <w:sz w:val="22"/>
          <w:szCs w:val="22"/>
          <w:lang w:val="fr-CA"/>
        </w:rPr>
        <w:t xml:space="preserve"> doit pas être utilisée</w:t>
      </w:r>
      <w:r w:rsidR="00D84F16" w:rsidRPr="00974091">
        <w:rPr>
          <w:rFonts w:ascii="Arial" w:hAnsi="Arial" w:cs="Arial"/>
          <w:sz w:val="22"/>
          <w:szCs w:val="22"/>
          <w:lang w:val="fr-CA"/>
        </w:rPr>
        <w:t xml:space="preserve"> à des fins </w:t>
      </w:r>
      <w:r w:rsidR="009C42DC" w:rsidRPr="00974091">
        <w:rPr>
          <w:rFonts w:ascii="Arial" w:hAnsi="Arial" w:cs="Arial"/>
          <w:sz w:val="22"/>
          <w:szCs w:val="22"/>
          <w:lang w:val="fr-CA"/>
        </w:rPr>
        <w:t xml:space="preserve">à laquelle elle n'est pas destinée. </w:t>
      </w:r>
      <w:r w:rsidRPr="00974091">
        <w:rPr>
          <w:rFonts w:ascii="Arial" w:hAnsi="Arial" w:cs="Arial"/>
          <w:sz w:val="22"/>
          <w:szCs w:val="22"/>
          <w:lang w:val="fr-CA"/>
        </w:rPr>
        <w:t>Par exemple</w:t>
      </w:r>
      <w:r w:rsidRPr="005340E1">
        <w:rPr>
          <w:rFonts w:ascii="Arial" w:hAnsi="Arial" w:cs="Arial"/>
          <w:sz w:val="22"/>
          <w:szCs w:val="22"/>
          <w:lang w:val="fr-CA"/>
        </w:rPr>
        <w:t>, il ne faut pas utiliser la grille ATR</w:t>
      </w:r>
      <w:r w:rsidRPr="005340E1">
        <w:rPr>
          <w:rFonts w:ascii="Arial" w:hAnsi="Arial" w:cs="Arial"/>
          <w:sz w:val="22"/>
          <w:szCs w:val="22"/>
          <w:vertAlign w:val="superscript"/>
          <w:lang w:val="fr-CA"/>
        </w:rPr>
        <w:t>©</w:t>
      </w:r>
      <w:r w:rsidRPr="005340E1">
        <w:rPr>
          <w:rFonts w:ascii="Arial" w:hAnsi="Arial" w:cs="Arial"/>
          <w:sz w:val="22"/>
          <w:szCs w:val="22"/>
          <w:lang w:val="fr-CA"/>
        </w:rPr>
        <w:t xml:space="preserve"> pour déterminer si un client a besoin d’être hospitalisé.</w:t>
      </w:r>
    </w:p>
    <w:p w14:paraId="79661FD6" w14:textId="77777777" w:rsidR="00E161A4" w:rsidRPr="005340E1" w:rsidRDefault="00E161A4">
      <w:pPr>
        <w:rPr>
          <w:rFonts w:ascii="Arial" w:hAnsi="Arial" w:cs="Arial"/>
          <w:highlight w:val="yellow"/>
          <w:lang w:val="fr-CA"/>
        </w:rPr>
      </w:pPr>
      <w:r w:rsidRPr="005340E1">
        <w:rPr>
          <w:rFonts w:ascii="Arial" w:hAnsi="Arial" w:cs="Arial"/>
          <w:highlight w:val="yellow"/>
          <w:lang w:val="fr-CA"/>
        </w:rPr>
        <w:br w:type="page"/>
      </w:r>
    </w:p>
    <w:p w14:paraId="5DE0497B" w14:textId="77777777" w:rsidR="00A10933" w:rsidRPr="005340E1" w:rsidRDefault="00C52B80" w:rsidP="00A10933">
      <w:pPr>
        <w:spacing w:after="120"/>
        <w:ind w:firstLine="360"/>
        <w:rPr>
          <w:rFonts w:ascii="Arial" w:hAnsi="Arial" w:cs="Arial"/>
          <w:highlight w:val="yellow"/>
          <w:lang w:val="fr-CA"/>
        </w:rPr>
      </w:pPr>
      <w:r>
        <w:rPr>
          <w:rFonts w:ascii="Arial" w:hAnsi="Arial" w:cs="Arial"/>
          <w:highlight w:val="yellow"/>
          <w:lang w:val="fr-CA"/>
        </w:rPr>
        <w:lastRenderedPageBreak/>
        <w:pict w14:anchorId="7A1B6EC6">
          <v:shape id="_x0000_s2830" type="#_x0000_t32" style="position:absolute;left:0;text-align:left;margin-left:-3pt;margin-top:7.45pt;width:474pt;height:0;z-index:251680768" o:connectortype="straight" strokeweight="2pt"/>
        </w:pict>
      </w:r>
    </w:p>
    <w:p w14:paraId="006FCD87" w14:textId="5AF7DEE7" w:rsidR="00A10933" w:rsidRPr="005340E1" w:rsidRDefault="00A10933" w:rsidP="00A10933">
      <w:pPr>
        <w:spacing w:after="120"/>
        <w:rPr>
          <w:rFonts w:ascii="Arial" w:hAnsi="Arial" w:cs="Arial"/>
          <w:b/>
          <w:i/>
          <w:sz w:val="32"/>
          <w:szCs w:val="32"/>
          <w:highlight w:val="yellow"/>
          <w:lang w:val="fr-CA"/>
        </w:rPr>
      </w:pPr>
      <w:r w:rsidRPr="005340E1">
        <w:rPr>
          <w:rFonts w:ascii="Arial" w:hAnsi="Arial" w:cs="Arial"/>
          <w:b/>
          <w:i/>
          <w:sz w:val="32"/>
          <w:szCs w:val="32"/>
          <w:lang w:val="fr-CA"/>
        </w:rPr>
        <w:t>CHAP</w:t>
      </w:r>
      <w:r w:rsidR="00A66BE6" w:rsidRPr="005340E1">
        <w:rPr>
          <w:rFonts w:ascii="Arial" w:hAnsi="Arial" w:cs="Arial"/>
          <w:b/>
          <w:i/>
          <w:sz w:val="32"/>
          <w:szCs w:val="32"/>
          <w:lang w:val="fr-CA"/>
        </w:rPr>
        <w:t>IT</w:t>
      </w:r>
      <w:r w:rsidRPr="005340E1">
        <w:rPr>
          <w:rFonts w:ascii="Arial" w:hAnsi="Arial" w:cs="Arial"/>
          <w:b/>
          <w:i/>
          <w:sz w:val="32"/>
          <w:szCs w:val="32"/>
          <w:lang w:val="fr-CA"/>
        </w:rPr>
        <w:t>R</w:t>
      </w:r>
      <w:r w:rsidR="00A66BE6" w:rsidRPr="005340E1">
        <w:rPr>
          <w:rFonts w:ascii="Arial" w:hAnsi="Arial" w:cs="Arial"/>
          <w:b/>
          <w:i/>
          <w:sz w:val="32"/>
          <w:szCs w:val="32"/>
          <w:lang w:val="fr-CA"/>
        </w:rPr>
        <w:t>E</w:t>
      </w:r>
      <w:r w:rsidRPr="005340E1">
        <w:rPr>
          <w:rFonts w:ascii="Arial" w:hAnsi="Arial" w:cs="Arial"/>
          <w:b/>
          <w:i/>
          <w:sz w:val="32"/>
          <w:szCs w:val="32"/>
          <w:lang w:val="fr-CA"/>
        </w:rPr>
        <w:t xml:space="preserve"> 2</w:t>
      </w:r>
      <w:r w:rsidR="00A66BE6" w:rsidRPr="005340E1">
        <w:rPr>
          <w:rFonts w:ascii="Arial" w:hAnsi="Arial" w:cs="Arial"/>
          <w:b/>
          <w:i/>
          <w:sz w:val="32"/>
          <w:szCs w:val="32"/>
          <w:lang w:val="fr-CA"/>
        </w:rPr>
        <w:t> </w:t>
      </w:r>
      <w:r w:rsidRPr="005340E1">
        <w:rPr>
          <w:rFonts w:ascii="Arial" w:hAnsi="Arial" w:cs="Arial"/>
          <w:b/>
          <w:i/>
          <w:sz w:val="32"/>
          <w:szCs w:val="32"/>
          <w:lang w:val="fr-CA"/>
        </w:rPr>
        <w:t xml:space="preserve">: </w:t>
      </w:r>
      <w:r w:rsidR="003A7D52" w:rsidRPr="005340E1">
        <w:rPr>
          <w:rFonts w:ascii="Arial" w:hAnsi="Arial" w:cs="Arial"/>
          <w:b/>
          <w:i/>
          <w:sz w:val="32"/>
          <w:szCs w:val="32"/>
          <w:lang w:val="fr-CA"/>
        </w:rPr>
        <w:t>NOTATION</w:t>
      </w:r>
      <w:r w:rsidR="00317171" w:rsidRPr="005340E1">
        <w:rPr>
          <w:rFonts w:ascii="Arial" w:hAnsi="Arial" w:cs="Arial"/>
          <w:b/>
          <w:i/>
          <w:sz w:val="32"/>
          <w:szCs w:val="32"/>
          <w:lang w:val="fr-CA"/>
        </w:rPr>
        <w:t xml:space="preserve"> ET INTERPRÉTATION DE LA </w:t>
      </w:r>
      <w:r w:rsidR="003D071C" w:rsidRPr="005340E1">
        <w:rPr>
          <w:rFonts w:ascii="Arial" w:hAnsi="Arial" w:cs="Arial"/>
          <w:b/>
          <w:i/>
          <w:sz w:val="32"/>
          <w:szCs w:val="32"/>
          <w:lang w:val="fr-CA"/>
        </w:rPr>
        <w:t xml:space="preserve">GRILLE </w:t>
      </w:r>
      <w:r w:rsidR="004A492E" w:rsidRPr="005340E1">
        <w:rPr>
          <w:rFonts w:ascii="Arial" w:hAnsi="Arial" w:cs="Arial"/>
          <w:b/>
          <w:i/>
          <w:sz w:val="32"/>
          <w:szCs w:val="32"/>
          <w:lang w:val="fr-CA"/>
        </w:rPr>
        <w:t>ATR</w:t>
      </w:r>
      <w:r w:rsidR="004A492E" w:rsidRPr="005340E1">
        <w:rPr>
          <w:rFonts w:ascii="Arial" w:hAnsi="Arial" w:cs="Arial"/>
          <w:b/>
          <w:i/>
          <w:sz w:val="32"/>
          <w:szCs w:val="32"/>
          <w:vertAlign w:val="superscript"/>
          <w:lang w:val="fr-CA"/>
        </w:rPr>
        <w:t>©</w:t>
      </w:r>
    </w:p>
    <w:p w14:paraId="5C2C5F5A" w14:textId="77777777" w:rsidR="00A10933" w:rsidRPr="005340E1" w:rsidRDefault="00C52B80" w:rsidP="00A10933">
      <w:pPr>
        <w:spacing w:after="120"/>
        <w:rPr>
          <w:rFonts w:ascii="Arial" w:hAnsi="Arial" w:cs="Arial"/>
          <w:b/>
          <w:i/>
          <w:highlight w:val="yellow"/>
          <w:lang w:val="fr-CA"/>
        </w:rPr>
      </w:pPr>
      <w:r>
        <w:rPr>
          <w:rFonts w:ascii="Arial" w:hAnsi="Arial" w:cs="Arial"/>
          <w:b/>
          <w:i/>
          <w:sz w:val="28"/>
          <w:szCs w:val="28"/>
          <w:highlight w:val="yellow"/>
          <w:lang w:val="fr-CA"/>
        </w:rPr>
        <w:pict w14:anchorId="09759F10">
          <v:shape id="_x0000_s2811" type="#_x0000_t32" style="position:absolute;margin-left:-3pt;margin-top:4.9pt;width:474pt;height:0;z-index:251661312" o:connectortype="straight" strokeweight="2pt"/>
        </w:pict>
      </w:r>
    </w:p>
    <w:p w14:paraId="2D52D916" w14:textId="77777777" w:rsidR="00A10933" w:rsidRPr="005340E1" w:rsidRDefault="00A66BE6" w:rsidP="00A10933">
      <w:pPr>
        <w:spacing w:after="120"/>
        <w:rPr>
          <w:rFonts w:ascii="Arial" w:hAnsi="Arial" w:cs="Arial"/>
          <w:b/>
          <w:i/>
          <w:sz w:val="22"/>
          <w:szCs w:val="22"/>
          <w:lang w:val="fr-CA"/>
        </w:rPr>
      </w:pPr>
      <w:r w:rsidRPr="005340E1">
        <w:rPr>
          <w:rFonts w:ascii="Arial" w:hAnsi="Arial" w:cs="Arial"/>
          <w:b/>
          <w:i/>
          <w:sz w:val="22"/>
          <w:szCs w:val="22"/>
          <w:lang w:val="fr-CA"/>
        </w:rPr>
        <w:t>Aperçu du chapitre</w:t>
      </w:r>
    </w:p>
    <w:p w14:paraId="5E5EFAAE" w14:textId="462F0887" w:rsidR="00A10933" w:rsidRPr="005340E1" w:rsidRDefault="003D071C" w:rsidP="00A10933">
      <w:pPr>
        <w:spacing w:after="120"/>
        <w:ind w:firstLine="360"/>
        <w:rPr>
          <w:rFonts w:ascii="Arial" w:hAnsi="Arial" w:cs="Arial"/>
          <w:sz w:val="22"/>
          <w:szCs w:val="22"/>
          <w:lang w:val="fr-CA"/>
        </w:rPr>
      </w:pPr>
      <w:r w:rsidRPr="005340E1">
        <w:rPr>
          <w:rFonts w:ascii="Arial" w:hAnsi="Arial" w:cs="Arial"/>
          <w:sz w:val="22"/>
          <w:szCs w:val="22"/>
          <w:lang w:val="fr-CA"/>
        </w:rPr>
        <w:t xml:space="preserve">Le chapitre 2 traite de la </w:t>
      </w:r>
      <w:r w:rsidR="00175603" w:rsidRPr="005340E1">
        <w:rPr>
          <w:rFonts w:ascii="Arial" w:hAnsi="Arial" w:cs="Arial"/>
          <w:sz w:val="22"/>
          <w:szCs w:val="22"/>
          <w:lang w:val="fr-CA"/>
        </w:rPr>
        <w:t xml:space="preserve">notation </w:t>
      </w:r>
      <w:r w:rsidRPr="005340E1">
        <w:rPr>
          <w:rFonts w:ascii="Arial" w:hAnsi="Arial" w:cs="Arial"/>
          <w:sz w:val="22"/>
          <w:szCs w:val="22"/>
          <w:lang w:val="fr-CA"/>
        </w:rPr>
        <w:t>et de l’interprétation des résultats de la grille ATR</w:t>
      </w:r>
      <w:r w:rsidRPr="005340E1">
        <w:rPr>
          <w:rFonts w:ascii="Arial" w:hAnsi="Arial" w:cs="Arial"/>
          <w:sz w:val="22"/>
          <w:szCs w:val="22"/>
          <w:vertAlign w:val="superscript"/>
          <w:lang w:val="fr-CA"/>
        </w:rPr>
        <w:t>©</w:t>
      </w:r>
      <w:r w:rsidRPr="005340E1">
        <w:rPr>
          <w:rFonts w:ascii="Arial" w:hAnsi="Arial" w:cs="Arial"/>
          <w:sz w:val="22"/>
          <w:szCs w:val="22"/>
          <w:lang w:val="fr-CA"/>
        </w:rPr>
        <w:t>. Dans ce chapitre, nous fournirons des directives sur la façon de calculer le scor</w:t>
      </w:r>
      <w:r w:rsidR="000D6B1A" w:rsidRPr="005340E1">
        <w:rPr>
          <w:rFonts w:ascii="Arial" w:hAnsi="Arial" w:cs="Arial"/>
          <w:sz w:val="22"/>
          <w:szCs w:val="22"/>
          <w:lang w:val="fr-CA"/>
        </w:rPr>
        <w:t>e</w:t>
      </w:r>
      <w:r w:rsidRPr="005340E1">
        <w:rPr>
          <w:rFonts w:ascii="Arial" w:hAnsi="Arial" w:cs="Arial"/>
          <w:sz w:val="22"/>
          <w:szCs w:val="22"/>
          <w:lang w:val="fr-CA"/>
        </w:rPr>
        <w:t xml:space="preserve"> de la grille ATR</w:t>
      </w:r>
      <w:r w:rsidR="004A492E" w:rsidRPr="005340E1">
        <w:rPr>
          <w:rFonts w:ascii="Arial" w:hAnsi="Arial" w:cs="Arial"/>
          <w:sz w:val="22"/>
          <w:szCs w:val="22"/>
          <w:vertAlign w:val="superscript"/>
          <w:lang w:val="fr-CA"/>
        </w:rPr>
        <w:t>©</w:t>
      </w:r>
      <w:r w:rsidRPr="005340E1">
        <w:rPr>
          <w:rFonts w:ascii="Arial" w:hAnsi="Arial" w:cs="Arial"/>
          <w:sz w:val="22"/>
          <w:szCs w:val="22"/>
          <w:lang w:val="fr-CA"/>
        </w:rPr>
        <w:t xml:space="preserve">. </w:t>
      </w:r>
      <w:r w:rsidR="00BD0C40" w:rsidRPr="005340E1">
        <w:rPr>
          <w:rFonts w:ascii="Arial" w:hAnsi="Arial" w:cs="Arial"/>
          <w:sz w:val="22"/>
          <w:szCs w:val="22"/>
          <w:lang w:val="fr-CA"/>
        </w:rPr>
        <w:t>N</w:t>
      </w:r>
      <w:r w:rsidRPr="005340E1">
        <w:rPr>
          <w:rFonts w:ascii="Arial" w:hAnsi="Arial" w:cs="Arial"/>
          <w:sz w:val="22"/>
          <w:szCs w:val="22"/>
          <w:lang w:val="fr-CA"/>
        </w:rPr>
        <w:t xml:space="preserve">ous présenterons </w:t>
      </w:r>
      <w:r w:rsidR="00BD0C40" w:rsidRPr="005340E1">
        <w:rPr>
          <w:rFonts w:ascii="Arial" w:hAnsi="Arial" w:cs="Arial"/>
          <w:sz w:val="22"/>
          <w:szCs w:val="22"/>
          <w:lang w:val="fr-CA"/>
        </w:rPr>
        <w:t xml:space="preserve">ensuite </w:t>
      </w:r>
      <w:r w:rsidRPr="005340E1">
        <w:rPr>
          <w:rFonts w:ascii="Arial" w:hAnsi="Arial" w:cs="Arial"/>
          <w:sz w:val="22"/>
          <w:szCs w:val="22"/>
          <w:lang w:val="fr-CA"/>
        </w:rPr>
        <w:t xml:space="preserve">des lignes directrices sur les données manquantes et les </w:t>
      </w:r>
      <w:r w:rsidR="00555188" w:rsidRPr="005340E1">
        <w:rPr>
          <w:rFonts w:ascii="Arial" w:hAnsi="Arial" w:cs="Arial"/>
          <w:sz w:val="22"/>
          <w:szCs w:val="22"/>
          <w:lang w:val="fr-CA"/>
        </w:rPr>
        <w:t>scores à inverser</w:t>
      </w:r>
      <w:r w:rsidR="00846058" w:rsidRPr="005340E1">
        <w:rPr>
          <w:rFonts w:ascii="Arial" w:hAnsi="Arial" w:cs="Arial"/>
          <w:sz w:val="22"/>
          <w:szCs w:val="22"/>
          <w:lang w:val="fr-CA"/>
        </w:rPr>
        <w:t xml:space="preserve">. Ensuite, nous aborderons le </w:t>
      </w:r>
      <w:r w:rsidR="00555188" w:rsidRPr="005340E1">
        <w:rPr>
          <w:rFonts w:ascii="Arial" w:hAnsi="Arial" w:cs="Arial"/>
          <w:sz w:val="22"/>
          <w:szCs w:val="22"/>
          <w:lang w:val="fr-CA"/>
        </w:rPr>
        <w:t xml:space="preserve">score total et le score moyen à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A10933" w:rsidRPr="005340E1">
        <w:rPr>
          <w:rFonts w:ascii="Arial" w:hAnsi="Arial" w:cs="Arial"/>
          <w:sz w:val="22"/>
          <w:szCs w:val="22"/>
          <w:lang w:val="fr-CA"/>
        </w:rPr>
        <w:t>.</w:t>
      </w:r>
      <w:r w:rsidR="00846058" w:rsidRPr="005340E1">
        <w:rPr>
          <w:rFonts w:ascii="Arial" w:hAnsi="Arial" w:cs="Arial"/>
          <w:sz w:val="22"/>
          <w:szCs w:val="22"/>
          <w:lang w:val="fr-CA"/>
        </w:rPr>
        <w:t xml:space="preserve"> Cette section se conclura par une </w:t>
      </w:r>
      <w:r w:rsidR="00555188" w:rsidRPr="005340E1">
        <w:rPr>
          <w:rFonts w:ascii="Arial" w:hAnsi="Arial" w:cs="Arial"/>
          <w:sz w:val="22"/>
          <w:szCs w:val="22"/>
          <w:lang w:val="fr-CA"/>
        </w:rPr>
        <w:t xml:space="preserve">présentation sur les seuils de passage de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846058" w:rsidRPr="005340E1">
        <w:rPr>
          <w:rFonts w:ascii="Arial" w:hAnsi="Arial" w:cs="Arial"/>
          <w:sz w:val="22"/>
          <w:szCs w:val="22"/>
          <w:lang w:val="fr-CA"/>
        </w:rPr>
        <w:t>.</w:t>
      </w:r>
    </w:p>
    <w:p w14:paraId="7CC3CF4E" w14:textId="77777777" w:rsidR="00A10933" w:rsidRPr="005340E1" w:rsidRDefault="00C52B80" w:rsidP="00A10933">
      <w:pPr>
        <w:spacing w:after="120"/>
        <w:rPr>
          <w:rFonts w:ascii="Arial" w:hAnsi="Arial" w:cs="Arial"/>
          <w:sz w:val="22"/>
          <w:szCs w:val="22"/>
          <w:lang w:val="fr-CA"/>
        </w:rPr>
      </w:pPr>
      <w:r>
        <w:rPr>
          <w:rFonts w:ascii="Arial" w:hAnsi="Arial" w:cs="Arial"/>
          <w:sz w:val="22"/>
          <w:szCs w:val="22"/>
          <w:lang w:val="fr-CA"/>
        </w:rPr>
        <w:pict w14:anchorId="0063E97B">
          <v:shape id="_x0000_s2826" type="#_x0000_t32" style="position:absolute;margin-left:-3pt;margin-top:6.65pt;width:474pt;height:0;z-index:251676672" o:connectortype="straight" strokeweight="2pt"/>
        </w:pict>
      </w:r>
    </w:p>
    <w:p w14:paraId="7EF4EB54" w14:textId="48F216C0" w:rsidR="00A10933" w:rsidRPr="005340E1" w:rsidRDefault="00175603" w:rsidP="00A10933">
      <w:pPr>
        <w:spacing w:after="120"/>
        <w:rPr>
          <w:rFonts w:ascii="Arial" w:hAnsi="Arial" w:cs="Arial"/>
          <w:b/>
          <w:i/>
          <w:sz w:val="22"/>
          <w:szCs w:val="22"/>
          <w:lang w:val="fr-CA"/>
        </w:rPr>
      </w:pPr>
      <w:r w:rsidRPr="005340E1">
        <w:rPr>
          <w:rFonts w:ascii="Arial" w:hAnsi="Arial" w:cs="Arial"/>
          <w:b/>
          <w:i/>
          <w:sz w:val="22"/>
          <w:szCs w:val="22"/>
          <w:lang w:val="fr-CA"/>
        </w:rPr>
        <w:t xml:space="preserve">Notation </w:t>
      </w:r>
      <w:r w:rsidR="0077284C" w:rsidRPr="005340E1">
        <w:rPr>
          <w:rFonts w:ascii="Arial" w:hAnsi="Arial" w:cs="Arial"/>
          <w:b/>
          <w:i/>
          <w:sz w:val="22"/>
          <w:szCs w:val="22"/>
          <w:lang w:val="fr-CA"/>
        </w:rPr>
        <w:t>de la grille ATR</w:t>
      </w:r>
      <w:r w:rsidR="0077284C" w:rsidRPr="005340E1">
        <w:rPr>
          <w:rFonts w:ascii="Arial" w:hAnsi="Arial" w:cs="Arial"/>
          <w:b/>
          <w:i/>
          <w:sz w:val="22"/>
          <w:szCs w:val="22"/>
          <w:vertAlign w:val="superscript"/>
          <w:lang w:val="fr-CA"/>
        </w:rPr>
        <w:t>©</w:t>
      </w:r>
    </w:p>
    <w:p w14:paraId="14F4E96F" w14:textId="7EC2C8F7" w:rsidR="00A10933" w:rsidRPr="005340E1" w:rsidRDefault="00E53D81" w:rsidP="00E53D81">
      <w:pPr>
        <w:tabs>
          <w:tab w:val="left" w:pos="4962"/>
        </w:tabs>
        <w:spacing w:after="120"/>
        <w:ind w:firstLine="360"/>
        <w:rPr>
          <w:rFonts w:ascii="Arial" w:hAnsi="Arial" w:cs="Arial"/>
          <w:sz w:val="22"/>
          <w:szCs w:val="22"/>
          <w:lang w:val="fr-CA"/>
        </w:rPr>
      </w:pPr>
      <w:r w:rsidRPr="005340E1">
        <w:rPr>
          <w:rFonts w:ascii="Arial" w:hAnsi="Arial" w:cs="Arial"/>
          <w:sz w:val="22"/>
          <w:szCs w:val="22"/>
          <w:lang w:val="fr-CA"/>
        </w:rPr>
        <w:t>La grille d’évaluation ATR</w:t>
      </w:r>
      <w:r w:rsidRPr="005340E1">
        <w:rPr>
          <w:rFonts w:ascii="Arial" w:hAnsi="Arial" w:cs="Arial"/>
          <w:sz w:val="22"/>
          <w:szCs w:val="22"/>
          <w:vertAlign w:val="superscript"/>
          <w:lang w:val="fr-CA"/>
        </w:rPr>
        <w:t>©</w:t>
      </w:r>
      <w:r w:rsidRPr="005340E1">
        <w:rPr>
          <w:rFonts w:ascii="Arial" w:hAnsi="Arial" w:cs="Arial"/>
          <w:sz w:val="22"/>
          <w:szCs w:val="22"/>
          <w:lang w:val="fr-CA"/>
        </w:rPr>
        <w:t xml:space="preserve"> est un outil de mesure comprenant 18 éléments qui a été élaboré pour évaluer la préparation </w:t>
      </w:r>
      <w:r w:rsidR="008D2F5F" w:rsidRPr="005340E1">
        <w:rPr>
          <w:rFonts w:ascii="Arial" w:hAnsi="Arial" w:cs="Arial"/>
          <w:sz w:val="22"/>
          <w:szCs w:val="22"/>
          <w:lang w:val="fr-CA"/>
        </w:rPr>
        <w:t>des clients</w:t>
      </w:r>
      <w:r w:rsidRPr="005340E1">
        <w:rPr>
          <w:rFonts w:ascii="Arial" w:hAnsi="Arial" w:cs="Arial"/>
          <w:sz w:val="22"/>
          <w:szCs w:val="22"/>
          <w:lang w:val="fr-CA"/>
        </w:rPr>
        <w:t xml:space="preserve"> </w:t>
      </w:r>
      <w:r w:rsidR="000A22F4" w:rsidRPr="005340E1">
        <w:rPr>
          <w:rFonts w:ascii="Arial" w:hAnsi="Arial" w:cs="Arial"/>
          <w:sz w:val="22"/>
          <w:szCs w:val="22"/>
          <w:lang w:val="fr-CA"/>
        </w:rPr>
        <w:t xml:space="preserve">des SCTI à faire </w:t>
      </w:r>
      <w:r w:rsidRPr="005340E1">
        <w:rPr>
          <w:rFonts w:ascii="Arial" w:hAnsi="Arial" w:cs="Arial"/>
          <w:sz w:val="22"/>
          <w:szCs w:val="22"/>
          <w:lang w:val="fr-CA"/>
        </w:rPr>
        <w:t xml:space="preserve">la transition </w:t>
      </w:r>
      <w:r w:rsidR="008D2F5F" w:rsidRPr="005340E1">
        <w:rPr>
          <w:rFonts w:ascii="Arial" w:hAnsi="Arial" w:cs="Arial"/>
          <w:sz w:val="22"/>
          <w:szCs w:val="22"/>
          <w:lang w:val="fr-CA"/>
        </w:rPr>
        <w:t xml:space="preserve">des SCTI </w:t>
      </w:r>
      <w:r w:rsidR="000A22F4" w:rsidRPr="005340E1">
        <w:rPr>
          <w:rFonts w:ascii="Arial" w:hAnsi="Arial" w:cs="Arial"/>
          <w:sz w:val="22"/>
          <w:szCs w:val="22"/>
          <w:lang w:val="fr-CA"/>
        </w:rPr>
        <w:t xml:space="preserve">vers </w:t>
      </w:r>
      <w:r w:rsidRPr="005340E1">
        <w:rPr>
          <w:rFonts w:ascii="Arial" w:hAnsi="Arial" w:cs="Arial"/>
          <w:sz w:val="22"/>
          <w:szCs w:val="22"/>
          <w:lang w:val="fr-CA"/>
        </w:rPr>
        <w:t>des services moins intensifs</w:t>
      </w:r>
      <w:r w:rsidR="00A10933" w:rsidRPr="005340E1">
        <w:rPr>
          <w:rFonts w:ascii="Arial" w:hAnsi="Arial" w:cs="Arial"/>
          <w:sz w:val="22"/>
          <w:szCs w:val="22"/>
          <w:lang w:val="fr-CA"/>
        </w:rPr>
        <w:t xml:space="preserve">. </w:t>
      </w:r>
      <w:r w:rsidR="00DA6E07" w:rsidRPr="005340E1">
        <w:rPr>
          <w:rFonts w:ascii="Arial" w:hAnsi="Arial" w:cs="Arial"/>
          <w:sz w:val="22"/>
          <w:szCs w:val="22"/>
          <w:lang w:val="fr-CA"/>
        </w:rPr>
        <w:t xml:space="preserve">Les 18 éléments traitent des </w:t>
      </w:r>
      <w:r w:rsidR="005340E1" w:rsidRPr="005340E1">
        <w:rPr>
          <w:rFonts w:ascii="Arial" w:hAnsi="Arial" w:cs="Arial"/>
          <w:sz w:val="22"/>
          <w:szCs w:val="22"/>
          <w:lang w:val="fr-CA"/>
        </w:rPr>
        <w:t>domaines</w:t>
      </w:r>
      <w:r w:rsidR="00DA6E07" w:rsidRPr="005340E1">
        <w:rPr>
          <w:rFonts w:ascii="Arial" w:hAnsi="Arial" w:cs="Arial"/>
          <w:sz w:val="22"/>
          <w:szCs w:val="22"/>
          <w:lang w:val="fr-CA"/>
        </w:rPr>
        <w:t xml:space="preserve"> suivants </w:t>
      </w:r>
      <w:r w:rsidR="00A10933" w:rsidRPr="005340E1">
        <w:rPr>
          <w:rFonts w:ascii="Arial" w:hAnsi="Arial" w:cs="Arial"/>
          <w:sz w:val="22"/>
          <w:szCs w:val="22"/>
          <w:lang w:val="fr-CA"/>
        </w:rPr>
        <w:t xml:space="preserve">: </w:t>
      </w:r>
    </w:p>
    <w:p w14:paraId="12ABFACE" w14:textId="2958D8CC" w:rsidR="00A10933" w:rsidRPr="005340E1" w:rsidRDefault="00DA6E07" w:rsidP="00A10933">
      <w:pPr>
        <w:pStyle w:val="ListParagraph"/>
        <w:numPr>
          <w:ilvl w:val="0"/>
          <w:numId w:val="3"/>
        </w:numPr>
        <w:spacing w:after="120" w:line="240" w:lineRule="auto"/>
        <w:rPr>
          <w:rFonts w:ascii="Arial" w:hAnsi="Arial" w:cs="Arial"/>
          <w:lang w:val="fr-CA"/>
        </w:rPr>
      </w:pPr>
      <w:r w:rsidRPr="005340E1">
        <w:rPr>
          <w:rFonts w:ascii="Arial" w:hAnsi="Arial" w:cs="Arial"/>
          <w:lang w:val="fr-CA"/>
        </w:rPr>
        <w:t>stabilité de l’état psychiatrique et du comportement</w:t>
      </w:r>
      <w:r w:rsidR="006E75A9" w:rsidRPr="005340E1">
        <w:rPr>
          <w:rFonts w:ascii="Arial" w:eastAsia="Times New Roman" w:hAnsi="Arial" w:cs="Arial"/>
          <w:lang w:val="fr-CA"/>
        </w:rPr>
        <w:t>;</w:t>
      </w:r>
    </w:p>
    <w:p w14:paraId="6AC15C24" w14:textId="7C62FE9E"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hAnsi="Arial" w:cs="Arial"/>
          <w:lang w:val="fr-CA"/>
        </w:rPr>
        <w:t>hospitalisation et incarcération</w:t>
      </w:r>
      <w:r w:rsidRPr="005340E1">
        <w:rPr>
          <w:rFonts w:ascii="Arial" w:eastAsia="Times New Roman" w:hAnsi="Arial" w:cs="Arial"/>
          <w:lang w:val="fr-CA"/>
        </w:rPr>
        <w:t>;</w:t>
      </w:r>
    </w:p>
    <w:p w14:paraId="16F8D0D5" w14:textId="1E4CDE68"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hAnsi="Arial" w:cs="Arial"/>
          <w:lang w:val="fr-CA"/>
        </w:rPr>
        <w:t>stabilité du logement</w:t>
      </w:r>
      <w:r w:rsidRPr="005340E1">
        <w:rPr>
          <w:rFonts w:ascii="Arial" w:eastAsia="Times New Roman" w:hAnsi="Arial" w:cs="Arial"/>
          <w:lang w:val="fr-CA"/>
        </w:rPr>
        <w:t>;</w:t>
      </w:r>
    </w:p>
    <w:p w14:paraId="6270499A" w14:textId="1419AD2B"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hAnsi="Arial" w:cs="Arial"/>
          <w:lang w:val="fr-CA"/>
        </w:rPr>
        <w:t>engagement/participation au traitement</w:t>
      </w:r>
      <w:r w:rsidRPr="005340E1">
        <w:rPr>
          <w:rFonts w:ascii="Arial" w:eastAsia="Times New Roman" w:hAnsi="Arial" w:cs="Arial"/>
          <w:lang w:val="fr-CA"/>
        </w:rPr>
        <w:t>;</w:t>
      </w:r>
    </w:p>
    <w:p w14:paraId="08C48B11" w14:textId="472CA071"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hAnsi="Arial" w:cs="Arial"/>
          <w:lang w:val="fr-CA"/>
        </w:rPr>
        <w:t>observance du traitement médicamenteux</w:t>
      </w:r>
      <w:r w:rsidRPr="005340E1">
        <w:rPr>
          <w:rFonts w:ascii="Arial" w:eastAsia="Times New Roman" w:hAnsi="Arial" w:cs="Arial"/>
          <w:lang w:val="fr-CA"/>
        </w:rPr>
        <w:t>;</w:t>
      </w:r>
    </w:p>
    <w:p w14:paraId="7717B0C9" w14:textId="5A9D8C2D"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hAnsi="Arial" w:cs="Arial"/>
          <w:lang w:val="fr-CA"/>
        </w:rPr>
        <w:t>autonomie</w:t>
      </w:r>
      <w:r w:rsidRPr="005340E1">
        <w:rPr>
          <w:rFonts w:ascii="Arial" w:eastAsia="Times New Roman" w:hAnsi="Arial" w:cs="Arial"/>
          <w:lang w:val="fr-CA"/>
        </w:rPr>
        <w:t>;</w:t>
      </w:r>
    </w:p>
    <w:p w14:paraId="62E61643" w14:textId="1975EA78"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hAnsi="Arial" w:cs="Arial"/>
          <w:lang w:val="fr-CA"/>
        </w:rPr>
        <w:t>complexité des problèmes de santé et de comportement</w:t>
      </w:r>
      <w:r w:rsidRPr="005340E1">
        <w:rPr>
          <w:rFonts w:ascii="Arial" w:eastAsia="Times New Roman" w:hAnsi="Arial" w:cs="Arial"/>
          <w:lang w:val="fr-CA"/>
        </w:rPr>
        <w:t>;</w:t>
      </w:r>
    </w:p>
    <w:p w14:paraId="2FF1034C" w14:textId="29067D5A"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hAnsi="Arial" w:cs="Arial"/>
          <w:lang w:val="fr-CA"/>
        </w:rPr>
        <w:t>intensité du besoin de services</w:t>
      </w:r>
      <w:r w:rsidRPr="005340E1">
        <w:rPr>
          <w:rFonts w:ascii="Arial" w:eastAsia="Times New Roman" w:hAnsi="Arial" w:cs="Arial"/>
          <w:lang w:val="fr-CA"/>
        </w:rPr>
        <w:t>;</w:t>
      </w:r>
    </w:p>
    <w:p w14:paraId="4C185738" w14:textId="1F566243"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hAnsi="Arial" w:cs="Arial"/>
          <w:lang w:val="fr-CA"/>
        </w:rPr>
        <w:t>prestations d’aide</w:t>
      </w:r>
      <w:r w:rsidRPr="005340E1">
        <w:rPr>
          <w:rFonts w:ascii="Arial" w:eastAsia="Times New Roman" w:hAnsi="Arial" w:cs="Arial"/>
          <w:lang w:val="fr-CA"/>
        </w:rPr>
        <w:t>;</w:t>
      </w:r>
    </w:p>
    <w:p w14:paraId="5CD6ECAA" w14:textId="5666C805"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eastAsia="Times New Roman" w:hAnsi="Arial" w:cs="Arial"/>
          <w:lang w:val="fr-CA"/>
        </w:rPr>
        <w:t>soutien social;</w:t>
      </w:r>
    </w:p>
    <w:p w14:paraId="3C42101F" w14:textId="67ED703F" w:rsidR="00A10933" w:rsidRPr="005340E1" w:rsidRDefault="00A10933" w:rsidP="00A10933">
      <w:pPr>
        <w:pStyle w:val="ListParagraph"/>
        <w:numPr>
          <w:ilvl w:val="0"/>
          <w:numId w:val="3"/>
        </w:numPr>
        <w:spacing w:after="120" w:line="240" w:lineRule="auto"/>
        <w:rPr>
          <w:rFonts w:ascii="Arial" w:hAnsi="Arial" w:cs="Arial"/>
          <w:lang w:val="fr-CA"/>
        </w:rPr>
      </w:pPr>
      <w:r w:rsidRPr="005340E1">
        <w:rPr>
          <w:rFonts w:ascii="Arial" w:eastAsia="Times New Roman" w:hAnsi="Arial" w:cs="Arial"/>
          <w:lang w:val="fr-CA"/>
        </w:rPr>
        <w:t>res</w:t>
      </w:r>
      <w:r w:rsidR="006E75A9" w:rsidRPr="005340E1">
        <w:rPr>
          <w:rFonts w:ascii="Arial" w:eastAsia="Times New Roman" w:hAnsi="Arial" w:cs="Arial"/>
          <w:lang w:val="fr-CA"/>
        </w:rPr>
        <w:t>sources;</w:t>
      </w:r>
    </w:p>
    <w:p w14:paraId="4D715159" w14:textId="3B7F0803" w:rsidR="00A10933" w:rsidRPr="005340E1" w:rsidRDefault="00A10933" w:rsidP="00A10933">
      <w:pPr>
        <w:pStyle w:val="ListParagraph"/>
        <w:numPr>
          <w:ilvl w:val="0"/>
          <w:numId w:val="3"/>
        </w:numPr>
        <w:spacing w:after="120" w:line="240" w:lineRule="auto"/>
        <w:rPr>
          <w:rFonts w:ascii="Arial" w:hAnsi="Arial" w:cs="Arial"/>
          <w:lang w:val="fr-CA"/>
        </w:rPr>
      </w:pPr>
      <w:r w:rsidRPr="005340E1">
        <w:rPr>
          <w:rFonts w:ascii="Arial" w:eastAsia="Times New Roman" w:hAnsi="Arial" w:cs="Arial"/>
          <w:lang w:val="fr-CA"/>
        </w:rPr>
        <w:t>i</w:t>
      </w:r>
      <w:r w:rsidR="006E75A9" w:rsidRPr="005340E1">
        <w:rPr>
          <w:rFonts w:ascii="Arial" w:eastAsia="Times New Roman" w:hAnsi="Arial" w:cs="Arial"/>
          <w:lang w:val="fr-CA"/>
        </w:rPr>
        <w:t>ntrospection;</w:t>
      </w:r>
    </w:p>
    <w:p w14:paraId="0F4AA63E" w14:textId="41A8263D"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eastAsia="Times New Roman" w:hAnsi="Arial" w:cs="Arial"/>
          <w:lang w:val="fr-CA"/>
        </w:rPr>
        <w:t>structure quotidienne</w:t>
      </w:r>
      <w:r w:rsidR="00A10933" w:rsidRPr="005340E1">
        <w:rPr>
          <w:rFonts w:ascii="Arial" w:eastAsia="Times New Roman" w:hAnsi="Arial" w:cs="Arial"/>
          <w:lang w:val="fr-CA"/>
        </w:rPr>
        <w:t xml:space="preserve">; </w:t>
      </w:r>
      <w:r w:rsidRPr="005340E1">
        <w:rPr>
          <w:rFonts w:ascii="Arial" w:eastAsia="Times New Roman" w:hAnsi="Arial" w:cs="Arial"/>
          <w:lang w:val="fr-CA"/>
        </w:rPr>
        <w:t>et</w:t>
      </w:r>
    </w:p>
    <w:p w14:paraId="3DD84302" w14:textId="42B3680C" w:rsidR="00A10933" w:rsidRPr="005340E1" w:rsidRDefault="006E75A9" w:rsidP="00A10933">
      <w:pPr>
        <w:pStyle w:val="ListParagraph"/>
        <w:numPr>
          <w:ilvl w:val="0"/>
          <w:numId w:val="3"/>
        </w:numPr>
        <w:spacing w:after="120" w:line="240" w:lineRule="auto"/>
        <w:rPr>
          <w:rFonts w:ascii="Arial" w:hAnsi="Arial" w:cs="Arial"/>
          <w:lang w:val="fr-CA"/>
        </w:rPr>
      </w:pPr>
      <w:r w:rsidRPr="005340E1">
        <w:rPr>
          <w:rFonts w:ascii="Arial" w:eastAsia="Times New Roman" w:hAnsi="Arial" w:cs="Arial"/>
          <w:lang w:val="fr-CA"/>
        </w:rPr>
        <w:t>emploi</w:t>
      </w:r>
      <w:r w:rsidR="00A10933" w:rsidRPr="005340E1">
        <w:rPr>
          <w:rFonts w:ascii="Arial" w:eastAsia="Times New Roman" w:hAnsi="Arial" w:cs="Arial"/>
          <w:lang w:val="fr-CA"/>
        </w:rPr>
        <w:t>.</w:t>
      </w:r>
    </w:p>
    <w:p w14:paraId="2C8F7D31" w14:textId="4B018732" w:rsidR="00A10933" w:rsidRPr="005340E1" w:rsidRDefault="00316994" w:rsidP="004A492E">
      <w:pPr>
        <w:spacing w:after="120"/>
        <w:ind w:firstLine="450"/>
        <w:rPr>
          <w:rFonts w:ascii="Arial" w:hAnsi="Arial" w:cs="Arial"/>
          <w:sz w:val="22"/>
          <w:szCs w:val="22"/>
          <w:highlight w:val="yellow"/>
          <w:lang w:val="fr-CA"/>
        </w:rPr>
      </w:pPr>
      <w:r w:rsidRPr="005340E1">
        <w:rPr>
          <w:rFonts w:ascii="Arial" w:hAnsi="Arial" w:cs="Arial"/>
          <w:sz w:val="22"/>
          <w:szCs w:val="22"/>
          <w:lang w:val="fr-CA"/>
        </w:rPr>
        <w:t xml:space="preserve">Chaque énoncé est évalué en fonction d’une grille </w:t>
      </w:r>
      <w:r w:rsidR="00134BDA" w:rsidRPr="005340E1">
        <w:rPr>
          <w:rFonts w:ascii="Arial" w:hAnsi="Arial" w:cs="Arial"/>
          <w:sz w:val="22"/>
          <w:szCs w:val="22"/>
          <w:lang w:val="fr-CA"/>
        </w:rPr>
        <w:t xml:space="preserve">de réponse </w:t>
      </w:r>
      <w:r w:rsidRPr="005340E1">
        <w:rPr>
          <w:rFonts w:ascii="Arial" w:hAnsi="Arial" w:cs="Arial"/>
          <w:sz w:val="22"/>
          <w:szCs w:val="22"/>
          <w:lang w:val="fr-CA"/>
        </w:rPr>
        <w:t>en quatre points : tout à fait en désaccord (1), en désaccord (2), d’accord (3), tout à fait d’accord (4). Par exemple, le premier énoncé est : « La personne n’a plus besoin de services intensifs ». Si vous êtes tout à fait d’accord</w:t>
      </w:r>
      <w:r w:rsidR="00134BDA" w:rsidRPr="005340E1">
        <w:rPr>
          <w:rFonts w:ascii="Arial" w:hAnsi="Arial" w:cs="Arial"/>
          <w:sz w:val="22"/>
          <w:szCs w:val="22"/>
          <w:lang w:val="fr-CA"/>
        </w:rPr>
        <w:t xml:space="preserve"> avec cet énoncé au sujet du client </w:t>
      </w:r>
      <w:r w:rsidR="007332AC" w:rsidRPr="005340E1">
        <w:rPr>
          <w:rFonts w:ascii="Arial" w:hAnsi="Arial" w:cs="Arial"/>
          <w:sz w:val="22"/>
          <w:szCs w:val="22"/>
          <w:lang w:val="fr-CA"/>
        </w:rPr>
        <w:t xml:space="preserve">des SCTI </w:t>
      </w:r>
      <w:r w:rsidR="00134BDA" w:rsidRPr="005340E1">
        <w:rPr>
          <w:rFonts w:ascii="Arial" w:hAnsi="Arial" w:cs="Arial"/>
          <w:sz w:val="22"/>
          <w:szCs w:val="22"/>
          <w:lang w:val="fr-CA"/>
        </w:rPr>
        <w:t>que vous évaluez, l</w:t>
      </w:r>
      <w:r w:rsidRPr="005340E1">
        <w:rPr>
          <w:rFonts w:ascii="Arial" w:hAnsi="Arial" w:cs="Arial"/>
          <w:sz w:val="22"/>
          <w:szCs w:val="22"/>
          <w:lang w:val="fr-CA"/>
        </w:rPr>
        <w:t xml:space="preserve">e client recevrait un score de 4 pour cet élément. </w:t>
      </w:r>
      <w:r w:rsidR="00134BDA" w:rsidRPr="005340E1">
        <w:rPr>
          <w:rFonts w:ascii="Arial" w:hAnsi="Arial" w:cs="Arial"/>
          <w:sz w:val="22"/>
          <w:szCs w:val="22"/>
          <w:lang w:val="fr-CA"/>
        </w:rPr>
        <w:t>Si vous êtes tout à fait en désaccord avec l’énoncé et pensez que le client a encore besoin de services intensifs, le client recevrait un score de 1 pour cet élément</w:t>
      </w:r>
      <w:r w:rsidR="00A10933" w:rsidRPr="005340E1">
        <w:rPr>
          <w:rFonts w:ascii="Arial" w:hAnsi="Arial" w:cs="Arial"/>
          <w:sz w:val="22"/>
          <w:szCs w:val="22"/>
          <w:lang w:val="fr-CA"/>
        </w:rPr>
        <w:t xml:space="preserve">. </w:t>
      </w:r>
      <w:r w:rsidR="00B61733" w:rsidRPr="005340E1">
        <w:rPr>
          <w:rFonts w:ascii="Arial" w:hAnsi="Arial" w:cs="Arial"/>
          <w:sz w:val="22"/>
          <w:szCs w:val="22"/>
          <w:lang w:val="fr-CA"/>
        </w:rPr>
        <w:t>Nous fournirons plus loin des directives sur la façon de</w:t>
      </w:r>
      <w:r w:rsidR="00DC70B3" w:rsidRPr="005340E1">
        <w:rPr>
          <w:rFonts w:ascii="Arial" w:hAnsi="Arial" w:cs="Arial"/>
          <w:sz w:val="22"/>
          <w:szCs w:val="22"/>
          <w:lang w:val="fr-CA"/>
        </w:rPr>
        <w:t xml:space="preserve"> calculer le score total et le score moyen.</w:t>
      </w:r>
    </w:p>
    <w:p w14:paraId="17C295FF" w14:textId="77777777" w:rsidR="00A10933" w:rsidRPr="005340E1" w:rsidRDefault="00C52B80" w:rsidP="00A10933">
      <w:pPr>
        <w:spacing w:after="120"/>
        <w:rPr>
          <w:rFonts w:ascii="Arial" w:hAnsi="Arial" w:cs="Arial"/>
          <w:b/>
          <w:i/>
          <w:sz w:val="22"/>
          <w:szCs w:val="22"/>
          <w:highlight w:val="yellow"/>
          <w:lang w:val="fr-CA"/>
        </w:rPr>
      </w:pPr>
      <w:r>
        <w:rPr>
          <w:rFonts w:ascii="Arial" w:hAnsi="Arial" w:cs="Arial"/>
          <w:b/>
          <w:i/>
          <w:sz w:val="22"/>
          <w:szCs w:val="22"/>
          <w:highlight w:val="yellow"/>
          <w:lang w:val="fr-CA"/>
        </w:rPr>
        <w:pict w14:anchorId="1400BDCC">
          <v:shape id="_x0000_s2812" type="#_x0000_t32" style="position:absolute;margin-left:.75pt;margin-top:9.7pt;width:474pt;height:0;z-index:251662336" o:connectortype="straight" strokeweight="2pt"/>
        </w:pict>
      </w:r>
    </w:p>
    <w:p w14:paraId="1F011F45" w14:textId="1BA433AA" w:rsidR="00A10933" w:rsidRPr="005340E1" w:rsidRDefault="0088055C" w:rsidP="00A10933">
      <w:pPr>
        <w:spacing w:after="120"/>
        <w:rPr>
          <w:rFonts w:ascii="Arial" w:hAnsi="Arial" w:cs="Arial"/>
          <w:b/>
          <w:i/>
          <w:sz w:val="22"/>
          <w:szCs w:val="22"/>
          <w:highlight w:val="yellow"/>
          <w:lang w:val="fr-CA"/>
        </w:rPr>
      </w:pPr>
      <w:r w:rsidRPr="005340E1">
        <w:rPr>
          <w:rFonts w:ascii="Arial" w:hAnsi="Arial" w:cs="Arial"/>
          <w:b/>
          <w:i/>
          <w:sz w:val="22"/>
          <w:szCs w:val="22"/>
          <w:lang w:val="fr-CA"/>
        </w:rPr>
        <w:t>Scores à inverser</w:t>
      </w:r>
    </w:p>
    <w:p w14:paraId="0919666C" w14:textId="2D4F742F" w:rsidR="00A10933" w:rsidRPr="005340E1" w:rsidRDefault="00DC70B3" w:rsidP="00D05273">
      <w:pPr>
        <w:tabs>
          <w:tab w:val="left" w:pos="5245"/>
        </w:tabs>
        <w:spacing w:after="120"/>
        <w:ind w:firstLine="360"/>
        <w:rPr>
          <w:rFonts w:ascii="Arial" w:hAnsi="Arial" w:cs="Arial"/>
          <w:sz w:val="22"/>
          <w:szCs w:val="22"/>
          <w:lang w:val="fr-CA"/>
        </w:rPr>
      </w:pPr>
      <w:r w:rsidRPr="005340E1">
        <w:rPr>
          <w:rFonts w:ascii="Arial" w:hAnsi="Arial" w:cs="Arial"/>
          <w:sz w:val="22"/>
          <w:szCs w:val="22"/>
          <w:lang w:val="fr-CA"/>
        </w:rPr>
        <w:t>Avant de calculer le score tot</w:t>
      </w:r>
      <w:r w:rsidR="00134BDA" w:rsidRPr="005340E1">
        <w:rPr>
          <w:rFonts w:ascii="Arial" w:hAnsi="Arial" w:cs="Arial"/>
          <w:sz w:val="22"/>
          <w:szCs w:val="22"/>
          <w:lang w:val="fr-CA"/>
        </w:rPr>
        <w:t xml:space="preserve">al ou moyen, il faut inverser </w:t>
      </w:r>
      <w:r w:rsidR="008A530B">
        <w:rPr>
          <w:rFonts w:ascii="Arial" w:hAnsi="Arial" w:cs="Arial"/>
          <w:sz w:val="22"/>
          <w:szCs w:val="22"/>
          <w:lang w:val="fr-CA"/>
        </w:rPr>
        <w:t>le</w:t>
      </w:r>
      <w:r w:rsidRPr="005340E1">
        <w:rPr>
          <w:rFonts w:ascii="Arial" w:hAnsi="Arial" w:cs="Arial"/>
          <w:sz w:val="22"/>
          <w:szCs w:val="22"/>
          <w:lang w:val="fr-CA"/>
        </w:rPr>
        <w:t xml:space="preserve"> score des réponses </w:t>
      </w:r>
      <w:r w:rsidR="008A530B">
        <w:rPr>
          <w:rFonts w:ascii="Arial" w:hAnsi="Arial" w:cs="Arial"/>
          <w:sz w:val="22"/>
          <w:szCs w:val="22"/>
          <w:lang w:val="fr-CA"/>
        </w:rPr>
        <w:t>à quatre des énoncés;</w:t>
      </w:r>
      <w:r w:rsidR="00555188" w:rsidRPr="005340E1">
        <w:rPr>
          <w:rFonts w:ascii="Arial" w:hAnsi="Arial" w:cs="Arial"/>
          <w:sz w:val="22"/>
          <w:szCs w:val="22"/>
          <w:lang w:val="fr-CA"/>
        </w:rPr>
        <w:t xml:space="preserve"> </w:t>
      </w:r>
      <w:r w:rsidR="00EE0A53" w:rsidRPr="005340E1">
        <w:rPr>
          <w:rFonts w:ascii="Arial" w:hAnsi="Arial" w:cs="Arial"/>
          <w:sz w:val="22"/>
          <w:szCs w:val="22"/>
          <w:lang w:val="fr-CA"/>
        </w:rPr>
        <w:t xml:space="preserve">ainsi des scores plus élevés pour chaque élément indiquent un plus grand potentiel de transition des services communautaires de traitement intensif vers des services moins intensifs. </w:t>
      </w:r>
      <w:r w:rsidR="003A1B91" w:rsidRPr="005340E1">
        <w:rPr>
          <w:rFonts w:ascii="Arial" w:hAnsi="Arial" w:cs="Arial"/>
          <w:sz w:val="22"/>
          <w:szCs w:val="22"/>
          <w:lang w:val="fr-CA"/>
        </w:rPr>
        <w:t xml:space="preserve">Tel qu’indiqué ci-dessus, lorsque vous </w:t>
      </w:r>
      <w:r w:rsidR="007332AC" w:rsidRPr="005340E1">
        <w:rPr>
          <w:rFonts w:ascii="Arial" w:hAnsi="Arial" w:cs="Arial"/>
          <w:sz w:val="22"/>
          <w:szCs w:val="22"/>
          <w:lang w:val="fr-CA"/>
        </w:rPr>
        <w:t xml:space="preserve">remplissez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7332AC" w:rsidRPr="005340E1">
        <w:rPr>
          <w:rFonts w:ascii="Arial" w:hAnsi="Arial" w:cs="Arial"/>
          <w:sz w:val="22"/>
          <w:szCs w:val="22"/>
          <w:lang w:val="fr-CA"/>
        </w:rPr>
        <w:t xml:space="preserve"> pour un client</w:t>
      </w:r>
      <w:r w:rsidR="00A10933" w:rsidRPr="005340E1">
        <w:rPr>
          <w:rFonts w:ascii="Arial" w:hAnsi="Arial" w:cs="Arial"/>
          <w:sz w:val="22"/>
          <w:szCs w:val="22"/>
          <w:lang w:val="fr-CA"/>
        </w:rPr>
        <w:t xml:space="preserve">, </w:t>
      </w:r>
      <w:r w:rsidR="003A1B91" w:rsidRPr="005340E1">
        <w:rPr>
          <w:rFonts w:ascii="Arial" w:hAnsi="Arial" w:cs="Arial"/>
          <w:sz w:val="22"/>
          <w:szCs w:val="22"/>
          <w:lang w:val="fr-CA"/>
        </w:rPr>
        <w:t xml:space="preserve">vous devez évaluer le client en fonction d’une série d’énoncés en utilisant une </w:t>
      </w:r>
      <w:r w:rsidR="00FA1E80" w:rsidRPr="005340E1">
        <w:rPr>
          <w:rFonts w:ascii="Arial" w:hAnsi="Arial" w:cs="Arial"/>
          <w:sz w:val="22"/>
          <w:szCs w:val="22"/>
          <w:lang w:val="fr-CA"/>
        </w:rPr>
        <w:t>grille en quatre points : tout à fait en désaccord (1), en désaccord (2), d’accord (3), tout à fait d’accord (4). Les scores des réponses aux énoncés suivants doivent être inversés :</w:t>
      </w:r>
    </w:p>
    <w:p w14:paraId="2E7AF43C" w14:textId="2810A717" w:rsidR="00A10933" w:rsidRPr="005340E1" w:rsidRDefault="003A1B91" w:rsidP="00A10933">
      <w:pPr>
        <w:pStyle w:val="ListParagraph"/>
        <w:numPr>
          <w:ilvl w:val="0"/>
          <w:numId w:val="2"/>
        </w:numPr>
        <w:spacing w:after="120" w:line="240" w:lineRule="auto"/>
        <w:rPr>
          <w:rFonts w:ascii="Arial" w:hAnsi="Arial" w:cs="Arial"/>
          <w:lang w:val="fr-CA"/>
        </w:rPr>
      </w:pPr>
      <w:r w:rsidRPr="005340E1">
        <w:rPr>
          <w:rFonts w:ascii="Arial" w:hAnsi="Arial" w:cs="Arial"/>
          <w:lang w:val="fr-CA"/>
        </w:rPr>
        <w:lastRenderedPageBreak/>
        <w:t>Énoncé</w:t>
      </w:r>
      <w:r w:rsidR="00A10933" w:rsidRPr="005340E1">
        <w:rPr>
          <w:rFonts w:ascii="Arial" w:hAnsi="Arial" w:cs="Arial"/>
          <w:lang w:val="fr-CA"/>
        </w:rPr>
        <w:t xml:space="preserve"> 5 – </w:t>
      </w:r>
      <w:r w:rsidRPr="005340E1">
        <w:rPr>
          <w:rFonts w:ascii="Arial" w:eastAsia="Times New Roman" w:hAnsi="Arial" w:cs="Arial"/>
          <w:lang w:val="fr-CA"/>
        </w:rPr>
        <w:t>La personne a été admise dans un hôpital psychiatrique au cours des six derniers mois</w:t>
      </w:r>
      <w:r w:rsidR="00A10933" w:rsidRPr="005340E1">
        <w:rPr>
          <w:rFonts w:ascii="Arial" w:hAnsi="Arial" w:cs="Arial"/>
          <w:lang w:val="fr-CA"/>
        </w:rPr>
        <w:t>.</w:t>
      </w:r>
    </w:p>
    <w:p w14:paraId="3DF861B6" w14:textId="6A1AF946" w:rsidR="00A10933" w:rsidRPr="005340E1" w:rsidRDefault="003A1B91" w:rsidP="00A10933">
      <w:pPr>
        <w:pStyle w:val="ListParagraph"/>
        <w:numPr>
          <w:ilvl w:val="0"/>
          <w:numId w:val="2"/>
        </w:numPr>
        <w:spacing w:after="120" w:line="240" w:lineRule="auto"/>
        <w:rPr>
          <w:rFonts w:ascii="Arial" w:hAnsi="Arial" w:cs="Arial"/>
          <w:lang w:val="fr-CA"/>
        </w:rPr>
      </w:pPr>
      <w:r w:rsidRPr="005340E1">
        <w:rPr>
          <w:rFonts w:ascii="Arial" w:hAnsi="Arial" w:cs="Arial"/>
          <w:lang w:val="fr-CA"/>
        </w:rPr>
        <w:t>Énoncé</w:t>
      </w:r>
      <w:r w:rsidR="00A10933" w:rsidRPr="005340E1">
        <w:rPr>
          <w:rFonts w:ascii="Arial" w:hAnsi="Arial" w:cs="Arial"/>
          <w:lang w:val="fr-CA"/>
        </w:rPr>
        <w:t xml:space="preserve"> 7 – </w:t>
      </w:r>
      <w:r w:rsidRPr="005340E1">
        <w:rPr>
          <w:rFonts w:ascii="Arial" w:eastAsia="Times New Roman" w:hAnsi="Arial" w:cs="Arial"/>
          <w:lang w:val="fr-CA"/>
        </w:rPr>
        <w:t>La personne a été incarcérée au cours des six derniers mois</w:t>
      </w:r>
      <w:r w:rsidRPr="005340E1">
        <w:rPr>
          <w:rFonts w:ascii="Arial" w:hAnsi="Arial" w:cs="Arial"/>
          <w:lang w:val="fr-CA"/>
        </w:rPr>
        <w:t>.</w:t>
      </w:r>
    </w:p>
    <w:p w14:paraId="7CC95AA1" w14:textId="27D9D7A9" w:rsidR="00A10933" w:rsidRPr="005340E1" w:rsidRDefault="003A1B91" w:rsidP="00A10933">
      <w:pPr>
        <w:pStyle w:val="ListParagraph"/>
        <w:numPr>
          <w:ilvl w:val="0"/>
          <w:numId w:val="2"/>
        </w:numPr>
        <w:spacing w:after="120" w:line="240" w:lineRule="auto"/>
        <w:rPr>
          <w:rFonts w:ascii="Arial" w:hAnsi="Arial" w:cs="Arial"/>
          <w:lang w:val="fr-CA"/>
        </w:rPr>
      </w:pPr>
      <w:r w:rsidRPr="005340E1">
        <w:rPr>
          <w:rFonts w:ascii="Arial" w:hAnsi="Arial" w:cs="Arial"/>
          <w:lang w:val="fr-CA"/>
        </w:rPr>
        <w:t>Énoncé</w:t>
      </w:r>
      <w:r w:rsidR="00A10933" w:rsidRPr="005340E1">
        <w:rPr>
          <w:rFonts w:ascii="Arial" w:hAnsi="Arial" w:cs="Arial"/>
          <w:lang w:val="fr-CA"/>
        </w:rPr>
        <w:t xml:space="preserve"> 1</w:t>
      </w:r>
      <w:r w:rsidR="00F97DC8" w:rsidRPr="005340E1">
        <w:rPr>
          <w:rFonts w:ascii="Arial" w:hAnsi="Arial" w:cs="Arial"/>
          <w:lang w:val="fr-CA"/>
        </w:rPr>
        <w:t>2</w:t>
      </w:r>
      <w:r w:rsidR="00A10933" w:rsidRPr="005340E1">
        <w:rPr>
          <w:rFonts w:ascii="Arial" w:hAnsi="Arial" w:cs="Arial"/>
          <w:lang w:val="fr-CA"/>
        </w:rPr>
        <w:t xml:space="preserve"> – </w:t>
      </w:r>
      <w:r w:rsidRPr="005340E1">
        <w:rPr>
          <w:rFonts w:ascii="Arial" w:hAnsi="Arial" w:cs="Arial"/>
          <w:lang w:val="fr-CA"/>
        </w:rPr>
        <w:t>La personne a des besoins complexes (c.-à-d., troubles de la personnalité, problèmes de santé, dépendance ou toxicomanie)</w:t>
      </w:r>
      <w:r w:rsidR="00A10933" w:rsidRPr="005340E1">
        <w:rPr>
          <w:rFonts w:ascii="Arial" w:hAnsi="Arial" w:cs="Arial"/>
          <w:lang w:val="fr-CA"/>
        </w:rPr>
        <w:t>.</w:t>
      </w:r>
    </w:p>
    <w:p w14:paraId="53A6D8AF" w14:textId="7AE4E08D" w:rsidR="00A10933" w:rsidRPr="005340E1" w:rsidRDefault="003A1B91" w:rsidP="00A10933">
      <w:pPr>
        <w:pStyle w:val="ListParagraph"/>
        <w:numPr>
          <w:ilvl w:val="0"/>
          <w:numId w:val="2"/>
        </w:numPr>
        <w:spacing w:after="120" w:line="240" w:lineRule="auto"/>
        <w:rPr>
          <w:rFonts w:ascii="Arial" w:hAnsi="Arial" w:cs="Arial"/>
          <w:lang w:val="fr-CA"/>
        </w:rPr>
      </w:pPr>
      <w:r w:rsidRPr="005340E1">
        <w:rPr>
          <w:rFonts w:ascii="Arial" w:hAnsi="Arial" w:cs="Arial"/>
          <w:lang w:val="fr-CA"/>
        </w:rPr>
        <w:t>Énoncé</w:t>
      </w:r>
      <w:r w:rsidR="00A10933" w:rsidRPr="005340E1">
        <w:rPr>
          <w:rFonts w:ascii="Arial" w:hAnsi="Arial" w:cs="Arial"/>
          <w:lang w:val="fr-CA"/>
        </w:rPr>
        <w:t xml:space="preserve"> 17 – </w:t>
      </w:r>
      <w:r w:rsidRPr="005340E1">
        <w:rPr>
          <w:rFonts w:ascii="Arial" w:eastAsia="Times New Roman" w:hAnsi="Arial" w:cs="Arial"/>
          <w:lang w:val="fr-CA"/>
        </w:rPr>
        <w:t>Les comportements de la personne n’ont pas été stables au cours des six derniers mois.</w:t>
      </w:r>
    </w:p>
    <w:p w14:paraId="42D397B4" w14:textId="77A96772" w:rsidR="00A10933" w:rsidRPr="005340E1" w:rsidRDefault="00764607" w:rsidP="005F5F50">
      <w:pPr>
        <w:spacing w:after="120"/>
        <w:ind w:firstLine="360"/>
        <w:rPr>
          <w:rFonts w:ascii="Arial" w:hAnsi="Arial" w:cs="Arial"/>
          <w:sz w:val="22"/>
          <w:szCs w:val="22"/>
          <w:lang w:val="fr-CA"/>
        </w:rPr>
      </w:pPr>
      <w:r w:rsidRPr="005340E1">
        <w:rPr>
          <w:rFonts w:ascii="Arial" w:hAnsi="Arial" w:cs="Arial"/>
          <w:sz w:val="22"/>
          <w:szCs w:val="22"/>
          <w:lang w:val="fr-CA"/>
        </w:rPr>
        <w:t>Par exemple, si vous avez répondu « tout à fait en désaccord » (1) à l’énoncé 5</w:t>
      </w:r>
      <w:r w:rsidR="009421D6" w:rsidRPr="005340E1">
        <w:rPr>
          <w:rFonts w:ascii="Arial" w:hAnsi="Arial" w:cs="Arial"/>
          <w:sz w:val="22"/>
          <w:szCs w:val="22"/>
          <w:lang w:val="fr-CA"/>
        </w:rPr>
        <w:t xml:space="preserve"> pour un client particulier</w:t>
      </w:r>
      <w:r w:rsidRPr="005340E1">
        <w:rPr>
          <w:rFonts w:ascii="Arial" w:hAnsi="Arial" w:cs="Arial"/>
          <w:sz w:val="22"/>
          <w:szCs w:val="22"/>
          <w:lang w:val="fr-CA"/>
        </w:rPr>
        <w:t>, cette réponse doit être inversée à 4 avant de calculer le score total ou moyen</w:t>
      </w:r>
      <w:r w:rsidR="009421D6" w:rsidRPr="005340E1">
        <w:rPr>
          <w:rFonts w:ascii="Arial" w:hAnsi="Arial" w:cs="Arial"/>
          <w:sz w:val="22"/>
          <w:szCs w:val="22"/>
          <w:lang w:val="fr-CA"/>
        </w:rPr>
        <w:t xml:space="preserve"> de ce client</w:t>
      </w:r>
      <w:r w:rsidRPr="005340E1">
        <w:rPr>
          <w:rFonts w:ascii="Arial" w:hAnsi="Arial" w:cs="Arial"/>
          <w:sz w:val="22"/>
          <w:szCs w:val="22"/>
          <w:lang w:val="fr-CA"/>
        </w:rPr>
        <w:t>.</w:t>
      </w:r>
      <w:r w:rsidRPr="005340E1">
        <w:rPr>
          <w:sz w:val="22"/>
          <w:szCs w:val="20"/>
          <w:lang w:val="fr-CA"/>
        </w:rPr>
        <w:t xml:space="preserve"> </w:t>
      </w:r>
      <w:r w:rsidR="005340E1">
        <w:rPr>
          <w:rFonts w:ascii="Arial" w:hAnsi="Arial" w:cs="Arial"/>
          <w:sz w:val="22"/>
          <w:szCs w:val="22"/>
          <w:lang w:val="fr-CA"/>
        </w:rPr>
        <w:t>S</w:t>
      </w:r>
      <w:r w:rsidR="009421D6" w:rsidRPr="005340E1">
        <w:rPr>
          <w:rFonts w:ascii="Arial" w:hAnsi="Arial" w:cs="Arial"/>
          <w:sz w:val="22"/>
          <w:szCs w:val="22"/>
          <w:lang w:val="fr-CA"/>
        </w:rPr>
        <w:t>i vous avez répondu « tout à fait d’accord » (4) à l’énoncé 12</w:t>
      </w:r>
      <w:r w:rsidR="00A81FB3" w:rsidRPr="005340E1">
        <w:rPr>
          <w:rFonts w:ascii="Arial" w:hAnsi="Arial" w:cs="Arial"/>
          <w:sz w:val="22"/>
          <w:szCs w:val="22"/>
          <w:lang w:val="fr-CA"/>
        </w:rPr>
        <w:t> : « </w:t>
      </w:r>
      <w:r w:rsidR="00FA1E80" w:rsidRPr="005340E1">
        <w:rPr>
          <w:rFonts w:ascii="Arial" w:hAnsi="Arial" w:cs="Arial"/>
          <w:sz w:val="22"/>
          <w:szCs w:val="22"/>
          <w:lang w:val="fr-CA"/>
        </w:rPr>
        <w:t>La personne a des besoins complexes (c.-à-d., troubles de la personnalité, problèmes de santé, dépendance ou toxicomanie) », il faut inverser le score de la réponse à 1 avant de calculer le score total ou moyen de ce client</w:t>
      </w:r>
      <w:r w:rsidR="0023654D" w:rsidRPr="005340E1">
        <w:rPr>
          <w:rFonts w:ascii="Arial" w:hAnsi="Arial" w:cs="Arial"/>
          <w:sz w:val="22"/>
          <w:szCs w:val="22"/>
          <w:lang w:val="fr-CA"/>
        </w:rPr>
        <w:t>.</w:t>
      </w:r>
    </w:p>
    <w:p w14:paraId="4A6F9DF8" w14:textId="77777777" w:rsidR="00A10933" w:rsidRPr="005340E1" w:rsidRDefault="00C52B80" w:rsidP="00A10933">
      <w:pPr>
        <w:spacing w:after="120"/>
        <w:ind w:left="360"/>
        <w:rPr>
          <w:rFonts w:ascii="Arial" w:hAnsi="Arial" w:cs="Arial"/>
          <w:sz w:val="22"/>
          <w:szCs w:val="22"/>
          <w:highlight w:val="yellow"/>
          <w:lang w:val="fr-CA"/>
        </w:rPr>
      </w:pPr>
      <w:r>
        <w:rPr>
          <w:rFonts w:ascii="Arial" w:hAnsi="Arial" w:cs="Arial"/>
          <w:sz w:val="22"/>
          <w:szCs w:val="22"/>
          <w:highlight w:val="yellow"/>
          <w:lang w:val="fr-CA"/>
        </w:rPr>
        <w:pict w14:anchorId="7B7DF1BB">
          <v:shape id="_x0000_s2821" type="#_x0000_t32" style="position:absolute;left:0;text-align:left;margin-left:.75pt;margin-top:6.3pt;width:474pt;height:0;z-index:251671552" o:connectortype="straight" strokeweight="2pt"/>
        </w:pict>
      </w:r>
    </w:p>
    <w:p w14:paraId="370C1B2C" w14:textId="5FFA6156" w:rsidR="00A10933" w:rsidRPr="005340E1" w:rsidRDefault="00A04F91" w:rsidP="00A10933">
      <w:pPr>
        <w:spacing w:after="120"/>
        <w:rPr>
          <w:rFonts w:ascii="Arial" w:hAnsi="Arial" w:cs="Arial"/>
          <w:b/>
          <w:i/>
          <w:sz w:val="22"/>
          <w:szCs w:val="22"/>
          <w:highlight w:val="yellow"/>
          <w:lang w:val="fr-CA"/>
        </w:rPr>
      </w:pPr>
      <w:r w:rsidRPr="005340E1">
        <w:rPr>
          <w:rFonts w:ascii="Arial" w:hAnsi="Arial" w:cs="Arial"/>
          <w:b/>
          <w:i/>
          <w:sz w:val="22"/>
          <w:szCs w:val="22"/>
          <w:lang w:val="fr-CA"/>
        </w:rPr>
        <w:t>Réponses manquantes</w:t>
      </w:r>
    </w:p>
    <w:p w14:paraId="667B25EC" w14:textId="349688E7" w:rsidR="00A10933" w:rsidRPr="005340E1" w:rsidRDefault="00B347CC" w:rsidP="00A10933">
      <w:pPr>
        <w:spacing w:after="120"/>
        <w:rPr>
          <w:rFonts w:ascii="Arial" w:hAnsi="Arial" w:cs="Arial"/>
          <w:sz w:val="22"/>
          <w:szCs w:val="22"/>
          <w:lang w:val="fr-CA"/>
        </w:rPr>
      </w:pPr>
      <w:r w:rsidRPr="005340E1">
        <w:rPr>
          <w:rFonts w:ascii="Arial" w:hAnsi="Arial" w:cs="Arial"/>
          <w:sz w:val="22"/>
          <w:szCs w:val="22"/>
          <w:lang w:val="fr-CA"/>
        </w:rPr>
        <w:t xml:space="preserve">Vous ne devez pas </w:t>
      </w:r>
      <w:r w:rsidR="00C839E6" w:rsidRPr="005340E1">
        <w:rPr>
          <w:rFonts w:ascii="Arial" w:hAnsi="Arial" w:cs="Arial"/>
          <w:sz w:val="22"/>
          <w:szCs w:val="22"/>
          <w:lang w:val="fr-CA"/>
        </w:rPr>
        <w:t>calculer le score total ou moyen à la grille ATR</w:t>
      </w:r>
      <w:r w:rsidR="00C839E6" w:rsidRPr="005340E1">
        <w:rPr>
          <w:rFonts w:ascii="Arial" w:hAnsi="Arial" w:cs="Arial"/>
          <w:sz w:val="22"/>
          <w:szCs w:val="22"/>
          <w:vertAlign w:val="superscript"/>
          <w:lang w:val="fr-CA"/>
        </w:rPr>
        <w:t>©</w:t>
      </w:r>
      <w:r w:rsidR="00764607" w:rsidRPr="005340E1">
        <w:rPr>
          <w:rFonts w:ascii="Arial" w:hAnsi="Arial" w:cs="Arial"/>
          <w:sz w:val="22"/>
          <w:szCs w:val="22"/>
          <w:lang w:val="fr-CA"/>
        </w:rPr>
        <w:t xml:space="preserve"> si </w:t>
      </w:r>
      <w:r w:rsidRPr="005340E1">
        <w:rPr>
          <w:rFonts w:ascii="Arial" w:hAnsi="Arial" w:cs="Arial"/>
          <w:sz w:val="22"/>
          <w:szCs w:val="22"/>
          <w:lang w:val="fr-CA"/>
        </w:rPr>
        <w:t>vous avez</w:t>
      </w:r>
      <w:r w:rsidR="00764607" w:rsidRPr="005340E1">
        <w:rPr>
          <w:rFonts w:ascii="Arial" w:hAnsi="Arial" w:cs="Arial"/>
          <w:sz w:val="22"/>
          <w:szCs w:val="22"/>
          <w:lang w:val="fr-CA"/>
        </w:rPr>
        <w:t xml:space="preserve"> répondu à</w:t>
      </w:r>
      <w:r w:rsidRPr="005340E1">
        <w:rPr>
          <w:rFonts w:ascii="Arial" w:hAnsi="Arial" w:cs="Arial"/>
          <w:sz w:val="22"/>
          <w:szCs w:val="22"/>
          <w:lang w:val="fr-CA"/>
        </w:rPr>
        <w:t xml:space="preserve"> moins de 80 % des </w:t>
      </w:r>
      <w:r w:rsidR="00A04F91" w:rsidRPr="005340E1">
        <w:rPr>
          <w:rFonts w:ascii="Arial" w:hAnsi="Arial" w:cs="Arial"/>
          <w:sz w:val="22"/>
          <w:szCs w:val="22"/>
          <w:lang w:val="fr-CA"/>
        </w:rPr>
        <w:t>énoncés</w:t>
      </w:r>
      <w:r w:rsidR="00A10933" w:rsidRPr="005340E1">
        <w:rPr>
          <w:rFonts w:ascii="Arial" w:hAnsi="Arial" w:cs="Arial"/>
          <w:sz w:val="22"/>
          <w:szCs w:val="22"/>
          <w:lang w:val="fr-CA"/>
        </w:rPr>
        <w:t xml:space="preserve">. </w:t>
      </w:r>
      <w:r w:rsidR="00764607" w:rsidRPr="005340E1">
        <w:rPr>
          <w:rFonts w:ascii="Arial" w:hAnsi="Arial" w:cs="Arial"/>
          <w:sz w:val="22"/>
          <w:szCs w:val="22"/>
          <w:lang w:val="fr-CA"/>
        </w:rPr>
        <w:t xml:space="preserve">C’est-à-dire qu’il faut répondre à au moins 14 des 18 </w:t>
      </w:r>
      <w:r w:rsidR="00A04F91" w:rsidRPr="005340E1">
        <w:rPr>
          <w:rFonts w:ascii="Arial" w:hAnsi="Arial" w:cs="Arial"/>
          <w:sz w:val="22"/>
          <w:szCs w:val="22"/>
          <w:lang w:val="fr-CA"/>
        </w:rPr>
        <w:t>é</w:t>
      </w:r>
      <w:r w:rsidR="00764607" w:rsidRPr="005340E1">
        <w:rPr>
          <w:rFonts w:ascii="Arial" w:hAnsi="Arial" w:cs="Arial"/>
          <w:sz w:val="22"/>
          <w:szCs w:val="22"/>
          <w:lang w:val="fr-CA"/>
        </w:rPr>
        <w:t xml:space="preserve">noncés pour pouvoir calculer le score du client à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764607" w:rsidRPr="005340E1">
        <w:rPr>
          <w:rFonts w:ascii="Arial" w:hAnsi="Arial" w:cs="Arial"/>
          <w:sz w:val="22"/>
          <w:szCs w:val="22"/>
          <w:lang w:val="fr-CA"/>
        </w:rPr>
        <w:t>.</w:t>
      </w:r>
    </w:p>
    <w:p w14:paraId="1D6ABEC1" w14:textId="77777777" w:rsidR="00A10933" w:rsidRPr="005340E1" w:rsidRDefault="00C52B80" w:rsidP="00A10933">
      <w:pPr>
        <w:spacing w:after="120"/>
        <w:rPr>
          <w:rFonts w:ascii="Arial" w:hAnsi="Arial" w:cs="Arial"/>
          <w:sz w:val="22"/>
          <w:szCs w:val="22"/>
          <w:highlight w:val="yellow"/>
          <w:lang w:val="fr-CA"/>
        </w:rPr>
      </w:pPr>
      <w:r>
        <w:rPr>
          <w:rFonts w:ascii="Arial" w:hAnsi="Arial" w:cs="Arial"/>
          <w:sz w:val="22"/>
          <w:szCs w:val="22"/>
          <w:highlight w:val="yellow"/>
          <w:lang w:val="fr-CA"/>
        </w:rPr>
        <w:pict w14:anchorId="29AF8B1A">
          <v:shape id="_x0000_s2822" type="#_x0000_t32" style="position:absolute;margin-left:.75pt;margin-top:5.4pt;width:474pt;height:0;z-index:251672576" o:connectortype="straight" strokeweight="2pt"/>
        </w:pict>
      </w:r>
    </w:p>
    <w:p w14:paraId="2324BACC" w14:textId="0E48B2BA" w:rsidR="00A10933" w:rsidRPr="005340E1" w:rsidRDefault="00C839E6" w:rsidP="00A10933">
      <w:pPr>
        <w:spacing w:after="120"/>
        <w:rPr>
          <w:rFonts w:ascii="Arial" w:hAnsi="Arial" w:cs="Arial"/>
          <w:b/>
          <w:i/>
          <w:sz w:val="22"/>
          <w:szCs w:val="22"/>
          <w:highlight w:val="yellow"/>
          <w:lang w:val="fr-CA"/>
        </w:rPr>
      </w:pPr>
      <w:r w:rsidRPr="005340E1">
        <w:rPr>
          <w:rFonts w:ascii="Arial" w:hAnsi="Arial" w:cs="Arial"/>
          <w:b/>
          <w:i/>
          <w:sz w:val="22"/>
          <w:szCs w:val="22"/>
          <w:lang w:val="fr-CA"/>
        </w:rPr>
        <w:t>Scores à la grille ATR</w:t>
      </w:r>
      <w:r w:rsidRPr="005340E1">
        <w:rPr>
          <w:rFonts w:ascii="Arial" w:hAnsi="Arial" w:cs="Arial"/>
          <w:b/>
          <w:i/>
          <w:sz w:val="22"/>
          <w:szCs w:val="22"/>
          <w:vertAlign w:val="superscript"/>
          <w:lang w:val="fr-CA"/>
        </w:rPr>
        <w:t>©</w:t>
      </w:r>
    </w:p>
    <w:p w14:paraId="531EDEED" w14:textId="408B3A71" w:rsidR="00A10933" w:rsidRPr="005340E1" w:rsidRDefault="00AB77A5" w:rsidP="00A10933">
      <w:pPr>
        <w:spacing w:after="120"/>
        <w:ind w:firstLine="360"/>
        <w:rPr>
          <w:rFonts w:ascii="Arial" w:hAnsi="Arial" w:cs="Arial"/>
          <w:sz w:val="22"/>
          <w:szCs w:val="22"/>
          <w:lang w:val="fr-CA"/>
        </w:rPr>
      </w:pPr>
      <w:r w:rsidRPr="005340E1">
        <w:rPr>
          <w:rFonts w:ascii="Arial" w:hAnsi="Arial" w:cs="Arial"/>
          <w:sz w:val="22"/>
          <w:szCs w:val="22"/>
          <w:lang w:val="fr-CA"/>
        </w:rPr>
        <w:t>Les scores plus élevés à la grille ATR</w:t>
      </w:r>
      <w:r w:rsidRPr="005340E1">
        <w:rPr>
          <w:rFonts w:ascii="Arial" w:hAnsi="Arial" w:cs="Arial"/>
          <w:sz w:val="22"/>
          <w:szCs w:val="22"/>
          <w:vertAlign w:val="superscript"/>
          <w:lang w:val="fr-CA"/>
        </w:rPr>
        <w:t>©</w:t>
      </w:r>
      <w:r w:rsidRPr="005340E1">
        <w:rPr>
          <w:rFonts w:ascii="Arial" w:hAnsi="Arial" w:cs="Arial"/>
          <w:sz w:val="22"/>
          <w:szCs w:val="22"/>
          <w:lang w:val="fr-CA"/>
        </w:rPr>
        <w:t xml:space="preserve"> indiquent un plus grand potentiel de transition des </w:t>
      </w:r>
      <w:r w:rsidR="00557B69">
        <w:rPr>
          <w:rFonts w:ascii="Arial" w:hAnsi="Arial" w:cs="Arial"/>
          <w:sz w:val="22"/>
          <w:szCs w:val="22"/>
          <w:lang w:val="fr-CA"/>
        </w:rPr>
        <w:t xml:space="preserve">SCTI </w:t>
      </w:r>
      <w:r w:rsidRPr="005340E1">
        <w:rPr>
          <w:rFonts w:ascii="Arial" w:hAnsi="Arial" w:cs="Arial"/>
          <w:sz w:val="22"/>
          <w:szCs w:val="22"/>
          <w:lang w:val="fr-CA"/>
        </w:rPr>
        <w:t xml:space="preserve">vers des services moins intensifs. </w:t>
      </w:r>
      <w:r w:rsidR="00C839E6" w:rsidRPr="005340E1">
        <w:rPr>
          <w:rFonts w:ascii="Arial" w:hAnsi="Arial" w:cs="Arial"/>
          <w:sz w:val="22"/>
          <w:szCs w:val="22"/>
          <w:lang w:val="fr-CA"/>
        </w:rPr>
        <w:t>On peut aussi calculer le score total ou moyen à la grille ATR</w:t>
      </w:r>
      <w:r w:rsidR="00C839E6" w:rsidRPr="005340E1">
        <w:rPr>
          <w:rFonts w:ascii="Arial" w:hAnsi="Arial" w:cs="Arial"/>
          <w:sz w:val="22"/>
          <w:szCs w:val="22"/>
          <w:vertAlign w:val="superscript"/>
          <w:lang w:val="fr-CA"/>
        </w:rPr>
        <w:t>©</w:t>
      </w:r>
      <w:r w:rsidR="008E4E97" w:rsidRPr="005340E1">
        <w:rPr>
          <w:rFonts w:ascii="Arial" w:hAnsi="Arial" w:cs="Arial"/>
          <w:sz w:val="22"/>
          <w:szCs w:val="22"/>
          <w:lang w:val="fr-CA"/>
        </w:rPr>
        <w:t xml:space="preserve">. </w:t>
      </w:r>
      <w:r w:rsidRPr="005340E1">
        <w:rPr>
          <w:rFonts w:ascii="Arial" w:hAnsi="Arial" w:cs="Arial"/>
          <w:sz w:val="22"/>
          <w:szCs w:val="22"/>
          <w:lang w:val="fr-CA"/>
        </w:rPr>
        <w:t>Le score total se calcule en additionnant toutes les réponses aux énoncés</w:t>
      </w:r>
      <w:r w:rsidR="00BC046C" w:rsidRPr="005340E1">
        <w:rPr>
          <w:rFonts w:ascii="Arial" w:hAnsi="Arial" w:cs="Arial"/>
          <w:sz w:val="22"/>
          <w:szCs w:val="22"/>
          <w:lang w:val="fr-CA"/>
        </w:rPr>
        <w:t xml:space="preserve"> </w:t>
      </w:r>
      <w:r w:rsidR="00BB7151" w:rsidRPr="005340E1">
        <w:rPr>
          <w:rFonts w:ascii="Arial" w:hAnsi="Arial" w:cs="Arial"/>
          <w:sz w:val="22"/>
          <w:szCs w:val="22"/>
          <w:lang w:val="fr-CA"/>
        </w:rPr>
        <w:t>de la grille</w:t>
      </w:r>
      <w:r w:rsidRPr="005340E1">
        <w:rPr>
          <w:rFonts w:ascii="Arial" w:hAnsi="Arial" w:cs="Arial"/>
          <w:sz w:val="22"/>
          <w:szCs w:val="22"/>
          <w:lang w:val="fr-CA"/>
        </w:rPr>
        <w:t xml:space="preserve">, et le score moyen se calcule en </w:t>
      </w:r>
      <w:r w:rsidR="00BC046C" w:rsidRPr="005340E1">
        <w:rPr>
          <w:rFonts w:ascii="Arial" w:hAnsi="Arial" w:cs="Arial"/>
          <w:sz w:val="22"/>
          <w:szCs w:val="22"/>
          <w:lang w:val="fr-CA"/>
        </w:rPr>
        <w:t>faisant la moyenne des résultats à</w:t>
      </w:r>
      <w:r w:rsidRPr="005340E1">
        <w:rPr>
          <w:rFonts w:ascii="Arial" w:hAnsi="Arial" w:cs="Arial"/>
          <w:sz w:val="22"/>
          <w:szCs w:val="22"/>
          <w:lang w:val="fr-CA"/>
        </w:rPr>
        <w:t xml:space="preserve"> toutes les réponses aux énoncés</w:t>
      </w:r>
      <w:r w:rsidR="00BC046C" w:rsidRPr="005340E1">
        <w:rPr>
          <w:rFonts w:ascii="Arial" w:hAnsi="Arial" w:cs="Arial"/>
          <w:sz w:val="22"/>
          <w:szCs w:val="22"/>
          <w:lang w:val="fr-CA"/>
        </w:rPr>
        <w:t>.</w:t>
      </w:r>
      <w:r w:rsidRPr="005340E1">
        <w:rPr>
          <w:rFonts w:ascii="Arial" w:hAnsi="Arial" w:cs="Arial"/>
          <w:sz w:val="22"/>
          <w:szCs w:val="22"/>
          <w:lang w:val="fr-CA"/>
        </w:rPr>
        <w:t xml:space="preserve"> </w:t>
      </w:r>
      <w:r w:rsidR="002E6F95" w:rsidRPr="005340E1">
        <w:rPr>
          <w:rFonts w:ascii="Arial" w:hAnsi="Arial" w:cs="Arial"/>
          <w:b/>
          <w:i/>
          <w:sz w:val="22"/>
          <w:szCs w:val="22"/>
          <w:lang w:val="fr-CA"/>
        </w:rPr>
        <w:t>Assurez-vous d’inverser le score des réponses aux énoncés 5, 7, 12 et 17 avant de calculer le score total ou moyen!</w:t>
      </w:r>
    </w:p>
    <w:p w14:paraId="625B1A7D" w14:textId="77777777" w:rsidR="00A10933" w:rsidRPr="005340E1" w:rsidRDefault="00C52B80" w:rsidP="00A10933">
      <w:pPr>
        <w:spacing w:after="120"/>
        <w:ind w:firstLine="360"/>
        <w:rPr>
          <w:rFonts w:ascii="Arial" w:hAnsi="Arial" w:cs="Arial"/>
          <w:sz w:val="22"/>
          <w:szCs w:val="22"/>
          <w:lang w:val="fr-CA"/>
        </w:rPr>
      </w:pPr>
      <w:r>
        <w:rPr>
          <w:rFonts w:ascii="Arial" w:hAnsi="Arial" w:cs="Arial"/>
          <w:sz w:val="22"/>
          <w:szCs w:val="22"/>
          <w:lang w:val="fr-CA"/>
        </w:rPr>
        <w:pict w14:anchorId="4E782D5A">
          <v:shape id="_x0000_s2827" type="#_x0000_t32" style="position:absolute;left:0;text-align:left;margin-left:.75pt;margin-top:7.15pt;width:474pt;height:0;z-index:251677696" o:connectortype="straight" strokeweight="2pt"/>
        </w:pict>
      </w:r>
    </w:p>
    <w:p w14:paraId="5C1418EE" w14:textId="1B356CA3" w:rsidR="00A10933" w:rsidRPr="005340E1" w:rsidRDefault="00B572B1" w:rsidP="00A10933">
      <w:pPr>
        <w:spacing w:after="120"/>
        <w:ind w:firstLine="360"/>
        <w:rPr>
          <w:rFonts w:ascii="Arial" w:hAnsi="Arial" w:cs="Arial"/>
          <w:sz w:val="22"/>
          <w:szCs w:val="22"/>
          <w:lang w:val="fr-CA"/>
        </w:rPr>
      </w:pPr>
      <w:r w:rsidRPr="005340E1">
        <w:rPr>
          <w:rFonts w:ascii="Arial" w:hAnsi="Arial" w:cs="Arial"/>
          <w:b/>
          <w:i/>
          <w:sz w:val="22"/>
          <w:szCs w:val="22"/>
          <w:lang w:val="fr-CA"/>
        </w:rPr>
        <w:t>Score total :</w:t>
      </w:r>
      <w:r w:rsidR="00A10933" w:rsidRPr="005340E1">
        <w:rPr>
          <w:rFonts w:ascii="Arial" w:hAnsi="Arial" w:cs="Arial"/>
          <w:sz w:val="22"/>
          <w:szCs w:val="22"/>
          <w:lang w:val="fr-CA"/>
        </w:rPr>
        <w:t xml:space="preserve"> </w:t>
      </w:r>
      <w:r w:rsidRPr="005340E1">
        <w:rPr>
          <w:rFonts w:ascii="Arial" w:hAnsi="Arial" w:cs="Arial"/>
          <w:sz w:val="22"/>
          <w:szCs w:val="22"/>
          <w:lang w:val="fr-CA"/>
        </w:rPr>
        <w:t>Le score total à la grille ATR</w:t>
      </w:r>
      <w:r w:rsidRPr="005340E1">
        <w:rPr>
          <w:rFonts w:ascii="Arial" w:hAnsi="Arial" w:cs="Arial"/>
          <w:sz w:val="22"/>
          <w:szCs w:val="22"/>
          <w:vertAlign w:val="superscript"/>
          <w:lang w:val="fr-CA"/>
        </w:rPr>
        <w:t>©</w:t>
      </w:r>
      <w:r w:rsidRPr="005340E1">
        <w:rPr>
          <w:rFonts w:ascii="Arial" w:hAnsi="Arial" w:cs="Arial"/>
          <w:sz w:val="22"/>
          <w:szCs w:val="22"/>
          <w:lang w:val="fr-CA"/>
        </w:rPr>
        <w:t xml:space="preserve"> se calcule en additionnant toutes les réponses aux énoncés. Les scores totaux varient entre 18 et 72</w:t>
      </w:r>
      <w:r w:rsidR="00A10933" w:rsidRPr="005340E1">
        <w:rPr>
          <w:rFonts w:ascii="Arial" w:hAnsi="Arial" w:cs="Arial"/>
          <w:sz w:val="22"/>
          <w:szCs w:val="22"/>
          <w:lang w:val="fr-CA"/>
        </w:rPr>
        <w:t xml:space="preserve">, </w:t>
      </w:r>
      <w:r w:rsidRPr="005340E1">
        <w:rPr>
          <w:rFonts w:ascii="Arial" w:hAnsi="Arial" w:cs="Arial"/>
          <w:sz w:val="22"/>
          <w:szCs w:val="22"/>
          <w:lang w:val="fr-CA"/>
        </w:rPr>
        <w:t xml:space="preserve">et les scores plus élevés indiquent un plus grand potentiel de transition des </w:t>
      </w:r>
      <w:r w:rsidR="00557B69">
        <w:rPr>
          <w:rFonts w:ascii="Arial" w:hAnsi="Arial" w:cs="Arial"/>
          <w:sz w:val="22"/>
          <w:szCs w:val="22"/>
          <w:lang w:val="fr-CA"/>
        </w:rPr>
        <w:t xml:space="preserve">SCTI </w:t>
      </w:r>
      <w:r w:rsidRPr="005340E1">
        <w:rPr>
          <w:rFonts w:ascii="Arial" w:hAnsi="Arial" w:cs="Arial"/>
          <w:sz w:val="22"/>
          <w:szCs w:val="22"/>
          <w:lang w:val="fr-CA"/>
        </w:rPr>
        <w:t>vers des services moins intensifs</w:t>
      </w:r>
      <w:r w:rsidR="00A10933" w:rsidRPr="005340E1">
        <w:rPr>
          <w:rFonts w:ascii="Arial" w:hAnsi="Arial" w:cs="Arial"/>
          <w:sz w:val="22"/>
          <w:szCs w:val="22"/>
          <w:lang w:val="fr-CA"/>
        </w:rPr>
        <w:t xml:space="preserve">. </w:t>
      </w:r>
      <w:r w:rsidRPr="005340E1">
        <w:rPr>
          <w:rFonts w:ascii="Arial" w:hAnsi="Arial" w:cs="Arial"/>
          <w:b/>
          <w:i/>
          <w:sz w:val="22"/>
          <w:szCs w:val="22"/>
          <w:lang w:val="fr-CA"/>
        </w:rPr>
        <w:t>Assurez-vous de commencer par inverser le score des réponses aux énoncés 5, 7, 12 et 17</w:t>
      </w:r>
      <w:r w:rsidR="00A10933" w:rsidRPr="005340E1">
        <w:rPr>
          <w:rFonts w:ascii="Arial" w:hAnsi="Arial" w:cs="Arial"/>
          <w:b/>
          <w:i/>
          <w:sz w:val="22"/>
          <w:szCs w:val="22"/>
          <w:lang w:val="fr-CA"/>
        </w:rPr>
        <w:t>!</w:t>
      </w:r>
      <w:r w:rsidR="00A10933" w:rsidRPr="005340E1">
        <w:rPr>
          <w:rFonts w:ascii="Arial" w:hAnsi="Arial" w:cs="Arial"/>
          <w:sz w:val="22"/>
          <w:szCs w:val="22"/>
          <w:lang w:val="fr-CA"/>
        </w:rPr>
        <w:t xml:space="preserve"> </w:t>
      </w:r>
      <w:r w:rsidR="006B2100" w:rsidRPr="005340E1">
        <w:rPr>
          <w:rFonts w:ascii="Arial" w:hAnsi="Arial" w:cs="Arial"/>
          <w:sz w:val="22"/>
          <w:szCs w:val="22"/>
          <w:lang w:val="fr-CA"/>
        </w:rPr>
        <w:t>Nous avons fourni un exemple de</w:t>
      </w:r>
      <w:r w:rsidR="008E4E97" w:rsidRPr="005340E1">
        <w:rPr>
          <w:rFonts w:ascii="Arial" w:hAnsi="Arial" w:cs="Arial"/>
          <w:sz w:val="22"/>
          <w:szCs w:val="22"/>
          <w:lang w:val="fr-CA"/>
        </w:rPr>
        <w:t xml:space="preserve"> </w:t>
      </w:r>
      <w:r w:rsidR="00041668" w:rsidRPr="005340E1">
        <w:rPr>
          <w:rFonts w:ascii="Arial" w:hAnsi="Arial" w:cs="Arial"/>
          <w:sz w:val="22"/>
          <w:szCs w:val="22"/>
          <w:lang w:val="fr-CA"/>
        </w:rPr>
        <w:t xml:space="preserve">feuille de calcul </w:t>
      </w:r>
      <w:r w:rsidR="006B2100" w:rsidRPr="005340E1">
        <w:rPr>
          <w:rFonts w:ascii="Arial" w:hAnsi="Arial" w:cs="Arial"/>
          <w:sz w:val="22"/>
          <w:szCs w:val="22"/>
          <w:lang w:val="fr-CA"/>
        </w:rPr>
        <w:t>E</w:t>
      </w:r>
      <w:r w:rsidR="00967C0F" w:rsidRPr="005340E1">
        <w:rPr>
          <w:rFonts w:ascii="Arial" w:hAnsi="Arial" w:cs="Arial"/>
          <w:sz w:val="22"/>
          <w:szCs w:val="22"/>
          <w:lang w:val="fr-CA"/>
        </w:rPr>
        <w:t xml:space="preserve">xcel </w:t>
      </w:r>
      <w:r w:rsidR="006B2100" w:rsidRPr="005340E1">
        <w:rPr>
          <w:rFonts w:ascii="Arial" w:hAnsi="Arial" w:cs="Arial"/>
          <w:sz w:val="22"/>
          <w:szCs w:val="22"/>
          <w:lang w:val="fr-CA"/>
        </w:rPr>
        <w:t>simple ci-dessous. Veuillez communiquer avec l’auteur si vous souhaitez obtenir une copie de ce programme ou si vous aimeriez avoir de l’aide pour concevoir votre propre programme de</w:t>
      </w:r>
      <w:r w:rsidR="00041668" w:rsidRPr="005340E1">
        <w:rPr>
          <w:rFonts w:ascii="Arial" w:hAnsi="Arial" w:cs="Arial"/>
          <w:sz w:val="22"/>
          <w:szCs w:val="22"/>
          <w:lang w:val="fr-CA"/>
        </w:rPr>
        <w:t xml:space="preserve"> notation et de collecte de données</w:t>
      </w:r>
      <w:r w:rsidR="006B2100" w:rsidRPr="005340E1">
        <w:rPr>
          <w:rFonts w:ascii="Arial" w:hAnsi="Arial" w:cs="Arial"/>
          <w:sz w:val="22"/>
          <w:szCs w:val="22"/>
          <w:lang w:val="fr-CA"/>
        </w:rPr>
        <w:t>.</w:t>
      </w:r>
    </w:p>
    <w:p w14:paraId="0A0D5568" w14:textId="77777777" w:rsidR="00A10933" w:rsidRPr="005340E1" w:rsidRDefault="00C52B80" w:rsidP="00A10933">
      <w:pPr>
        <w:spacing w:after="120"/>
        <w:rPr>
          <w:rFonts w:ascii="Arial" w:hAnsi="Arial" w:cs="Arial"/>
          <w:sz w:val="22"/>
          <w:szCs w:val="22"/>
          <w:highlight w:val="yellow"/>
          <w:lang w:val="fr-CA"/>
        </w:rPr>
      </w:pPr>
      <w:r>
        <w:rPr>
          <w:rFonts w:ascii="Arial" w:hAnsi="Arial" w:cs="Arial"/>
          <w:sz w:val="22"/>
          <w:szCs w:val="22"/>
          <w:highlight w:val="yellow"/>
          <w:lang w:val="fr-CA"/>
        </w:rPr>
        <w:pict w14:anchorId="7370A56B">
          <v:shape id="_x0000_s2823" type="#_x0000_t32" style="position:absolute;margin-left:.75pt;margin-top:7.4pt;width:474pt;height:0;z-index:251673600" o:connectortype="straight" strokeweight="2pt"/>
        </w:pict>
      </w:r>
    </w:p>
    <w:p w14:paraId="3C921C52" w14:textId="701704C0" w:rsidR="007A0AC7" w:rsidRPr="005340E1" w:rsidRDefault="00D807F2" w:rsidP="00A10933">
      <w:pPr>
        <w:spacing w:after="120"/>
        <w:ind w:firstLine="360"/>
        <w:rPr>
          <w:rFonts w:ascii="Arial" w:hAnsi="Arial" w:cs="Arial"/>
          <w:sz w:val="22"/>
          <w:szCs w:val="22"/>
          <w:lang w:val="fr-CA"/>
        </w:rPr>
      </w:pPr>
      <w:r w:rsidRPr="005340E1">
        <w:rPr>
          <w:rFonts w:ascii="Arial" w:hAnsi="Arial" w:cs="Arial"/>
          <w:b/>
          <w:i/>
          <w:sz w:val="22"/>
          <w:szCs w:val="22"/>
          <w:lang w:val="fr-CA"/>
        </w:rPr>
        <w:t xml:space="preserve">Score moyen : </w:t>
      </w:r>
      <w:r w:rsidRPr="005340E1">
        <w:rPr>
          <w:rFonts w:ascii="Arial" w:hAnsi="Arial" w:cs="Arial"/>
          <w:sz w:val="22"/>
          <w:szCs w:val="22"/>
          <w:lang w:val="fr-CA"/>
        </w:rPr>
        <w:t>Le score moyen à la grille ATR</w:t>
      </w:r>
      <w:r w:rsidRPr="005340E1">
        <w:rPr>
          <w:rFonts w:ascii="Arial" w:hAnsi="Arial" w:cs="Arial"/>
          <w:sz w:val="22"/>
          <w:szCs w:val="22"/>
          <w:vertAlign w:val="superscript"/>
          <w:lang w:val="fr-CA"/>
        </w:rPr>
        <w:t>©</w:t>
      </w:r>
      <w:r w:rsidRPr="005340E1">
        <w:rPr>
          <w:rFonts w:ascii="Arial" w:hAnsi="Arial" w:cs="Arial"/>
          <w:sz w:val="22"/>
          <w:szCs w:val="22"/>
          <w:lang w:val="fr-CA"/>
        </w:rPr>
        <w:t xml:space="preserve"> se calcule en additionnant toutes les réponses aux énoncés et en divisant le résultat par le nombre d’énoncés évalués. Le</w:t>
      </w:r>
      <w:r w:rsidR="00557B69">
        <w:rPr>
          <w:rFonts w:ascii="Arial" w:hAnsi="Arial" w:cs="Arial"/>
          <w:sz w:val="22"/>
          <w:szCs w:val="22"/>
          <w:lang w:val="fr-CA"/>
        </w:rPr>
        <w:t>s scores moyens varient entre 1,0 et 4,</w:t>
      </w:r>
      <w:r w:rsidRPr="005340E1">
        <w:rPr>
          <w:rFonts w:ascii="Arial" w:hAnsi="Arial" w:cs="Arial"/>
          <w:sz w:val="22"/>
          <w:szCs w:val="22"/>
          <w:lang w:val="fr-CA"/>
        </w:rPr>
        <w:t xml:space="preserve">0. </w:t>
      </w:r>
      <w:r w:rsidR="00967C0F" w:rsidRPr="005340E1">
        <w:rPr>
          <w:rFonts w:ascii="Arial" w:hAnsi="Arial" w:cs="Arial"/>
          <w:sz w:val="22"/>
          <w:szCs w:val="22"/>
          <w:lang w:val="fr-CA"/>
        </w:rPr>
        <w:t>On peut créer un</w:t>
      </w:r>
      <w:r w:rsidR="00041668" w:rsidRPr="005340E1">
        <w:rPr>
          <w:rFonts w:ascii="Arial" w:hAnsi="Arial" w:cs="Arial"/>
          <w:sz w:val="22"/>
          <w:szCs w:val="22"/>
          <w:lang w:val="fr-CA"/>
        </w:rPr>
        <w:t>e feuille de calcul simple</w:t>
      </w:r>
      <w:r w:rsidR="00967C0F" w:rsidRPr="005340E1">
        <w:rPr>
          <w:sz w:val="22"/>
          <w:szCs w:val="20"/>
          <w:lang w:val="fr-CA"/>
        </w:rPr>
        <w:t xml:space="preserve"> </w:t>
      </w:r>
      <w:r w:rsidR="00967C0F" w:rsidRPr="005340E1">
        <w:rPr>
          <w:rFonts w:ascii="Arial" w:hAnsi="Arial" w:cs="Arial"/>
          <w:sz w:val="22"/>
          <w:szCs w:val="22"/>
          <w:lang w:val="fr-CA"/>
        </w:rPr>
        <w:t>dans</w:t>
      </w:r>
      <w:r w:rsidR="0088055C" w:rsidRPr="005340E1">
        <w:rPr>
          <w:rFonts w:ascii="Arial" w:hAnsi="Arial" w:cs="Arial"/>
          <w:sz w:val="22"/>
          <w:szCs w:val="22"/>
          <w:lang w:val="fr-CA"/>
        </w:rPr>
        <w:t xml:space="preserve"> E</w:t>
      </w:r>
      <w:r w:rsidR="00967C0F" w:rsidRPr="005340E1">
        <w:rPr>
          <w:rFonts w:ascii="Arial" w:hAnsi="Arial" w:cs="Arial"/>
          <w:sz w:val="22"/>
          <w:szCs w:val="22"/>
          <w:lang w:val="fr-CA"/>
        </w:rPr>
        <w:t>xcel.</w:t>
      </w:r>
    </w:p>
    <w:p w14:paraId="4C554FB4" w14:textId="6DAB3E78" w:rsidR="00A10933" w:rsidRPr="005340E1" w:rsidRDefault="001E4B1B" w:rsidP="00A10933">
      <w:pPr>
        <w:spacing w:after="120"/>
        <w:ind w:firstLine="360"/>
        <w:rPr>
          <w:rFonts w:ascii="Arial" w:hAnsi="Arial" w:cs="Arial"/>
          <w:sz w:val="22"/>
          <w:szCs w:val="22"/>
          <w:lang w:val="fr-CA"/>
        </w:rPr>
      </w:pPr>
      <w:r w:rsidRPr="005340E1">
        <w:rPr>
          <w:rFonts w:ascii="Arial" w:hAnsi="Arial" w:cs="Arial"/>
          <w:sz w:val="22"/>
          <w:szCs w:val="22"/>
          <w:lang w:val="fr-CA"/>
        </w:rPr>
        <w:t xml:space="preserve">Si la feuille de calcul ci-dessous était fonctionnelle, </w:t>
      </w:r>
      <w:r w:rsidR="005C31A8" w:rsidRPr="005340E1">
        <w:rPr>
          <w:rFonts w:ascii="Arial" w:hAnsi="Arial" w:cs="Arial"/>
          <w:sz w:val="22"/>
          <w:szCs w:val="22"/>
          <w:lang w:val="fr-CA"/>
        </w:rPr>
        <w:t>il suffirait de saisir les scores de chaque énoncé dans les colonnes Q1-</w:t>
      </w:r>
      <w:r w:rsidR="008E4E97" w:rsidRPr="005340E1">
        <w:rPr>
          <w:rFonts w:ascii="Arial" w:hAnsi="Arial" w:cs="Arial"/>
          <w:sz w:val="22"/>
          <w:szCs w:val="22"/>
          <w:lang w:val="fr-CA"/>
        </w:rPr>
        <w:t xml:space="preserve">Q18. </w:t>
      </w:r>
      <w:r w:rsidR="00454962" w:rsidRPr="005340E1">
        <w:rPr>
          <w:rFonts w:ascii="Arial" w:hAnsi="Arial" w:cs="Arial"/>
          <w:sz w:val="22"/>
          <w:szCs w:val="22"/>
          <w:lang w:val="fr-CA"/>
        </w:rPr>
        <w:t>L</w:t>
      </w:r>
      <w:r w:rsidR="00041668" w:rsidRPr="005340E1">
        <w:rPr>
          <w:rFonts w:ascii="Arial" w:hAnsi="Arial" w:cs="Arial"/>
          <w:sz w:val="22"/>
          <w:szCs w:val="22"/>
          <w:lang w:val="fr-CA"/>
        </w:rPr>
        <w:t xml:space="preserve">a feuille de calcul </w:t>
      </w:r>
      <w:r w:rsidR="00454962" w:rsidRPr="005340E1">
        <w:rPr>
          <w:rFonts w:ascii="Arial" w:hAnsi="Arial" w:cs="Arial"/>
          <w:sz w:val="22"/>
          <w:szCs w:val="22"/>
          <w:lang w:val="fr-CA"/>
        </w:rPr>
        <w:t>peut être programmé</w:t>
      </w:r>
      <w:r w:rsidR="00041668" w:rsidRPr="005340E1">
        <w:rPr>
          <w:rFonts w:ascii="Arial" w:hAnsi="Arial" w:cs="Arial"/>
          <w:sz w:val="22"/>
          <w:szCs w:val="22"/>
          <w:lang w:val="fr-CA"/>
        </w:rPr>
        <w:t>e</w:t>
      </w:r>
      <w:r w:rsidR="00454962" w:rsidRPr="005340E1">
        <w:rPr>
          <w:rFonts w:ascii="Arial" w:hAnsi="Arial" w:cs="Arial"/>
          <w:sz w:val="22"/>
          <w:szCs w:val="22"/>
          <w:lang w:val="fr-CA"/>
        </w:rPr>
        <w:t xml:space="preserve"> de façon à vous avertir lorsque vous saisissez un score qui est en dehors de</w:t>
      </w:r>
      <w:r w:rsidRPr="005340E1">
        <w:rPr>
          <w:rFonts w:ascii="Arial" w:hAnsi="Arial" w:cs="Arial"/>
          <w:sz w:val="22"/>
          <w:szCs w:val="22"/>
          <w:lang w:val="fr-CA"/>
        </w:rPr>
        <w:t xml:space="preserve"> la </w:t>
      </w:r>
      <w:r w:rsidR="009B1F3A" w:rsidRPr="005340E1">
        <w:rPr>
          <w:rFonts w:ascii="Arial" w:hAnsi="Arial" w:cs="Arial"/>
          <w:sz w:val="22"/>
          <w:szCs w:val="22"/>
          <w:lang w:val="fr-CA"/>
        </w:rPr>
        <w:t>plage de réponse</w:t>
      </w:r>
      <w:r w:rsidR="00901EB6" w:rsidRPr="005340E1">
        <w:rPr>
          <w:rFonts w:ascii="Arial" w:hAnsi="Arial" w:cs="Arial"/>
          <w:sz w:val="22"/>
          <w:szCs w:val="22"/>
          <w:lang w:val="fr-CA"/>
        </w:rPr>
        <w:t>s acceptables</w:t>
      </w:r>
      <w:r w:rsidR="009B1F3A" w:rsidRPr="005340E1">
        <w:rPr>
          <w:rFonts w:ascii="Arial" w:hAnsi="Arial" w:cs="Arial"/>
          <w:sz w:val="22"/>
          <w:szCs w:val="22"/>
          <w:lang w:val="fr-CA"/>
        </w:rPr>
        <w:t xml:space="preserve"> </w:t>
      </w:r>
      <w:r w:rsidR="008E4E97" w:rsidRPr="005340E1">
        <w:rPr>
          <w:rFonts w:ascii="Arial" w:hAnsi="Arial" w:cs="Arial"/>
          <w:sz w:val="22"/>
          <w:szCs w:val="22"/>
          <w:lang w:val="fr-CA"/>
        </w:rPr>
        <w:t>(</w:t>
      </w:r>
      <w:r w:rsidR="00041668" w:rsidRPr="005340E1">
        <w:rPr>
          <w:rFonts w:ascii="Arial" w:hAnsi="Arial" w:cs="Arial"/>
          <w:sz w:val="22"/>
          <w:szCs w:val="22"/>
          <w:lang w:val="fr-CA"/>
        </w:rPr>
        <w:t>c.-à-d., 1, 2, 3, ou</w:t>
      </w:r>
      <w:r w:rsidR="008E4E97" w:rsidRPr="005340E1">
        <w:rPr>
          <w:rFonts w:ascii="Arial" w:hAnsi="Arial" w:cs="Arial"/>
          <w:sz w:val="22"/>
          <w:szCs w:val="22"/>
          <w:lang w:val="fr-CA"/>
        </w:rPr>
        <w:t xml:space="preserve"> 4)</w:t>
      </w:r>
      <w:r w:rsidR="007A0AC7" w:rsidRPr="005340E1">
        <w:rPr>
          <w:rFonts w:ascii="Arial" w:hAnsi="Arial" w:cs="Arial"/>
          <w:sz w:val="22"/>
          <w:szCs w:val="22"/>
          <w:lang w:val="fr-CA"/>
        </w:rPr>
        <w:t>.</w:t>
      </w:r>
      <w:r w:rsidR="008C4C94" w:rsidRPr="005340E1">
        <w:rPr>
          <w:rFonts w:ascii="Arial" w:hAnsi="Arial" w:cs="Arial"/>
          <w:sz w:val="22"/>
          <w:szCs w:val="22"/>
          <w:lang w:val="fr-CA"/>
        </w:rPr>
        <w:t xml:space="preserve"> </w:t>
      </w:r>
      <w:r w:rsidR="00041668" w:rsidRPr="005340E1">
        <w:rPr>
          <w:rFonts w:ascii="Arial" w:hAnsi="Arial" w:cs="Arial"/>
          <w:sz w:val="22"/>
          <w:szCs w:val="22"/>
          <w:lang w:val="fr-CA"/>
        </w:rPr>
        <w:t xml:space="preserve">Remarquez que le score de l’énoncé </w:t>
      </w:r>
      <w:r w:rsidR="008C4C94" w:rsidRPr="005340E1">
        <w:rPr>
          <w:rFonts w:ascii="Arial" w:hAnsi="Arial" w:cs="Arial"/>
          <w:sz w:val="22"/>
          <w:szCs w:val="22"/>
          <w:lang w:val="fr-CA"/>
        </w:rPr>
        <w:t>4</w:t>
      </w:r>
      <w:r w:rsidR="00041668" w:rsidRPr="005340E1">
        <w:rPr>
          <w:rFonts w:ascii="Arial" w:hAnsi="Arial" w:cs="Arial"/>
          <w:sz w:val="22"/>
          <w:szCs w:val="22"/>
          <w:lang w:val="fr-CA"/>
        </w:rPr>
        <w:t xml:space="preserve"> est en dehors </w:t>
      </w:r>
      <w:r w:rsidR="009B1F3A" w:rsidRPr="005340E1">
        <w:rPr>
          <w:rFonts w:ascii="Arial" w:hAnsi="Arial" w:cs="Arial"/>
          <w:sz w:val="22"/>
          <w:szCs w:val="22"/>
          <w:lang w:val="fr-CA"/>
        </w:rPr>
        <w:t xml:space="preserve">de la plage </w:t>
      </w:r>
      <w:r w:rsidR="00901EB6" w:rsidRPr="005340E1">
        <w:rPr>
          <w:rFonts w:ascii="Arial" w:hAnsi="Arial" w:cs="Arial"/>
          <w:sz w:val="22"/>
          <w:szCs w:val="22"/>
          <w:lang w:val="fr-CA"/>
        </w:rPr>
        <w:t xml:space="preserve">de réponses acceptables </w:t>
      </w:r>
      <w:r w:rsidRPr="005340E1">
        <w:rPr>
          <w:rFonts w:ascii="Arial" w:hAnsi="Arial" w:cs="Arial"/>
          <w:sz w:val="22"/>
          <w:szCs w:val="22"/>
          <w:lang w:val="fr-CA"/>
        </w:rPr>
        <w:t xml:space="preserve">et que la cellule est donc </w:t>
      </w:r>
      <w:r w:rsidR="00CC4617" w:rsidRPr="005340E1">
        <w:rPr>
          <w:rFonts w:ascii="Arial" w:hAnsi="Arial" w:cs="Arial"/>
          <w:sz w:val="22"/>
          <w:szCs w:val="22"/>
          <w:lang w:val="fr-CA"/>
        </w:rPr>
        <w:t xml:space="preserve">en surbrillance </w:t>
      </w:r>
      <w:r w:rsidRPr="005340E1">
        <w:rPr>
          <w:rFonts w:ascii="Arial" w:hAnsi="Arial" w:cs="Arial"/>
          <w:sz w:val="22"/>
          <w:szCs w:val="22"/>
          <w:lang w:val="fr-CA"/>
        </w:rPr>
        <w:t>rouge</w:t>
      </w:r>
      <w:r w:rsidR="008C4C94" w:rsidRPr="005340E1">
        <w:rPr>
          <w:rFonts w:ascii="Arial" w:hAnsi="Arial" w:cs="Arial"/>
          <w:sz w:val="22"/>
          <w:szCs w:val="22"/>
          <w:lang w:val="fr-CA"/>
        </w:rPr>
        <w:t xml:space="preserve">. </w:t>
      </w:r>
      <w:r w:rsidR="00325310" w:rsidRPr="005340E1">
        <w:rPr>
          <w:rFonts w:ascii="Arial" w:hAnsi="Arial" w:cs="Arial"/>
          <w:b/>
          <w:i/>
          <w:sz w:val="22"/>
          <w:szCs w:val="22"/>
          <w:lang w:val="fr-CA"/>
        </w:rPr>
        <w:t>Assurez-vous d’inverser le score des réponses aux énoncés 5, 7, 12 et 17 avant</w:t>
      </w:r>
      <w:r w:rsidR="008E4E97" w:rsidRPr="005340E1">
        <w:rPr>
          <w:rFonts w:ascii="Arial" w:hAnsi="Arial" w:cs="Arial"/>
          <w:b/>
          <w:i/>
          <w:sz w:val="22"/>
          <w:szCs w:val="22"/>
          <w:lang w:val="fr-CA"/>
        </w:rPr>
        <w:t>!</w:t>
      </w:r>
      <w:r w:rsidR="008E4E97" w:rsidRPr="005340E1">
        <w:rPr>
          <w:rFonts w:ascii="Arial" w:hAnsi="Arial" w:cs="Arial"/>
          <w:sz w:val="22"/>
          <w:szCs w:val="22"/>
          <w:lang w:val="fr-CA"/>
        </w:rPr>
        <w:t xml:space="preserve"> </w:t>
      </w:r>
      <w:r w:rsidR="00325310" w:rsidRPr="005340E1">
        <w:rPr>
          <w:rFonts w:ascii="Arial" w:hAnsi="Arial" w:cs="Arial"/>
          <w:sz w:val="22"/>
          <w:szCs w:val="22"/>
          <w:lang w:val="fr-CA"/>
        </w:rPr>
        <w:t>On peut programmer l</w:t>
      </w:r>
      <w:r w:rsidR="00041668" w:rsidRPr="005340E1">
        <w:rPr>
          <w:rFonts w:ascii="Arial" w:hAnsi="Arial" w:cs="Arial"/>
          <w:sz w:val="22"/>
          <w:szCs w:val="22"/>
          <w:lang w:val="fr-CA"/>
        </w:rPr>
        <w:t xml:space="preserve">a feuille de calcul </w:t>
      </w:r>
      <w:r w:rsidR="00325310" w:rsidRPr="005340E1">
        <w:rPr>
          <w:rFonts w:ascii="Arial" w:hAnsi="Arial" w:cs="Arial"/>
          <w:sz w:val="22"/>
          <w:szCs w:val="22"/>
          <w:lang w:val="fr-CA"/>
        </w:rPr>
        <w:t>de façon à calculer automatiquement le score total et le score moyen</w:t>
      </w:r>
      <w:r w:rsidR="008E4E97" w:rsidRPr="005340E1">
        <w:rPr>
          <w:rFonts w:ascii="Arial" w:hAnsi="Arial" w:cs="Arial"/>
          <w:sz w:val="22"/>
          <w:szCs w:val="22"/>
          <w:lang w:val="fr-CA"/>
        </w:rPr>
        <w:t>.</w:t>
      </w:r>
    </w:p>
    <w:p w14:paraId="7FDF8507" w14:textId="77777777" w:rsidR="00A10933" w:rsidRPr="005340E1" w:rsidRDefault="00C52B80" w:rsidP="00A10933">
      <w:pPr>
        <w:spacing w:after="120"/>
        <w:rPr>
          <w:rFonts w:ascii="Arial" w:hAnsi="Arial" w:cs="Arial"/>
          <w:sz w:val="22"/>
          <w:szCs w:val="22"/>
          <w:highlight w:val="yellow"/>
          <w:lang w:val="fr-CA"/>
        </w:rPr>
      </w:pPr>
      <w:r>
        <w:rPr>
          <w:rFonts w:ascii="Arial" w:hAnsi="Arial" w:cs="Arial"/>
          <w:sz w:val="22"/>
          <w:szCs w:val="22"/>
          <w:lang w:val="fr-CA"/>
        </w:rPr>
        <w:lastRenderedPageBreak/>
        <w:pict w14:anchorId="4386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58pt">
            <v:imagedata r:id="rId9" o:title=""/>
          </v:shape>
        </w:pict>
      </w:r>
    </w:p>
    <w:p w14:paraId="3CFF592D" w14:textId="77777777" w:rsidR="00A10933" w:rsidRPr="005340E1" w:rsidRDefault="00C52B80" w:rsidP="00A10933">
      <w:pPr>
        <w:spacing w:after="120"/>
        <w:rPr>
          <w:rFonts w:ascii="Arial" w:hAnsi="Arial" w:cs="Arial"/>
          <w:sz w:val="22"/>
          <w:szCs w:val="22"/>
          <w:highlight w:val="yellow"/>
          <w:lang w:val="fr-CA"/>
        </w:rPr>
      </w:pPr>
      <w:r>
        <w:rPr>
          <w:rFonts w:ascii="Arial" w:hAnsi="Arial" w:cs="Arial"/>
          <w:sz w:val="22"/>
          <w:szCs w:val="22"/>
          <w:highlight w:val="yellow"/>
          <w:lang w:val="fr-CA"/>
        </w:rPr>
        <w:pict w14:anchorId="27FBAD47">
          <v:shape id="_x0000_s2824" type="#_x0000_t32" style="position:absolute;margin-left:.75pt;margin-top:5.3pt;width:474pt;height:0;z-index:251674624" o:connectortype="straight" strokeweight="2pt"/>
        </w:pict>
      </w:r>
    </w:p>
    <w:p w14:paraId="2B0CE219" w14:textId="40B64679" w:rsidR="00A10933" w:rsidRPr="005340E1" w:rsidRDefault="00175603" w:rsidP="00A10933">
      <w:pPr>
        <w:spacing w:after="120"/>
        <w:ind w:firstLine="360"/>
        <w:rPr>
          <w:rFonts w:ascii="Arial" w:hAnsi="Arial" w:cs="Arial"/>
          <w:sz w:val="22"/>
          <w:szCs w:val="22"/>
          <w:lang w:val="fr-CA"/>
        </w:rPr>
      </w:pPr>
      <w:r w:rsidRPr="005340E1">
        <w:rPr>
          <w:rFonts w:ascii="Arial" w:hAnsi="Arial" w:cs="Arial"/>
          <w:b/>
          <w:i/>
          <w:sz w:val="22"/>
          <w:szCs w:val="22"/>
          <w:lang w:val="fr-CA"/>
        </w:rPr>
        <w:t>S</w:t>
      </w:r>
      <w:r w:rsidR="00C857E2" w:rsidRPr="005340E1">
        <w:rPr>
          <w:rFonts w:ascii="Arial" w:hAnsi="Arial" w:cs="Arial"/>
          <w:b/>
          <w:i/>
          <w:sz w:val="22"/>
          <w:szCs w:val="22"/>
          <w:lang w:val="fr-CA"/>
        </w:rPr>
        <w:t>euils de passage </w:t>
      </w:r>
      <w:r w:rsidR="007A0AC7" w:rsidRPr="005340E1">
        <w:rPr>
          <w:rFonts w:ascii="Arial" w:hAnsi="Arial" w:cs="Arial"/>
          <w:b/>
          <w:i/>
          <w:sz w:val="22"/>
          <w:szCs w:val="22"/>
          <w:lang w:val="fr-CA"/>
        </w:rPr>
        <w:t>:</w:t>
      </w:r>
      <w:r w:rsidR="007A0AC7" w:rsidRPr="005340E1">
        <w:rPr>
          <w:rFonts w:ascii="Arial" w:hAnsi="Arial" w:cs="Arial"/>
          <w:sz w:val="22"/>
          <w:szCs w:val="22"/>
          <w:lang w:val="fr-CA"/>
        </w:rPr>
        <w:t xml:space="preserve"> </w:t>
      </w:r>
      <w:r w:rsidR="007B1C60" w:rsidRPr="005340E1">
        <w:rPr>
          <w:rFonts w:ascii="Arial" w:hAnsi="Arial" w:cs="Arial"/>
          <w:sz w:val="22"/>
          <w:szCs w:val="22"/>
          <w:lang w:val="fr-CA"/>
        </w:rPr>
        <w:t xml:space="preserve">Les </w:t>
      </w:r>
      <w:r w:rsidR="00C857E2" w:rsidRPr="005340E1">
        <w:rPr>
          <w:rFonts w:ascii="Arial" w:hAnsi="Arial" w:cs="Arial"/>
          <w:sz w:val="22"/>
          <w:szCs w:val="22"/>
          <w:lang w:val="fr-CA"/>
        </w:rPr>
        <w:t>seuils de passage</w:t>
      </w:r>
      <w:r w:rsidR="007B1C60" w:rsidRPr="005340E1">
        <w:rPr>
          <w:rFonts w:ascii="Arial" w:hAnsi="Arial" w:cs="Arial"/>
          <w:sz w:val="22"/>
          <w:szCs w:val="22"/>
          <w:lang w:val="fr-CA"/>
        </w:rPr>
        <w:t xml:space="preserve"> ont été établis d</w:t>
      </w:r>
      <w:r w:rsidR="006B2100" w:rsidRPr="005340E1">
        <w:rPr>
          <w:rFonts w:ascii="Arial" w:hAnsi="Arial" w:cs="Arial"/>
          <w:sz w:val="22"/>
          <w:szCs w:val="22"/>
          <w:lang w:val="fr-CA"/>
        </w:rPr>
        <w:t>ans le but d’aider les ECTI à utiliser la grille</w:t>
      </w:r>
      <w:r w:rsidR="00A10933" w:rsidRPr="005340E1">
        <w:rPr>
          <w:rFonts w:ascii="Arial" w:hAnsi="Arial" w:cs="Arial"/>
          <w:sz w:val="22"/>
          <w:szCs w:val="22"/>
          <w:lang w:val="fr-CA"/>
        </w:rPr>
        <w:t xml:space="preserv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6B2100" w:rsidRPr="005340E1">
        <w:rPr>
          <w:rFonts w:ascii="Arial" w:hAnsi="Arial" w:cs="Arial"/>
          <w:sz w:val="22"/>
          <w:szCs w:val="22"/>
          <w:lang w:val="fr-CA"/>
        </w:rPr>
        <w:t xml:space="preserve"> afin de les aider </w:t>
      </w:r>
      <w:r w:rsidR="007332AC" w:rsidRPr="005340E1">
        <w:rPr>
          <w:rFonts w:ascii="Arial" w:hAnsi="Arial" w:cs="Arial"/>
          <w:sz w:val="22"/>
          <w:szCs w:val="22"/>
          <w:lang w:val="fr-CA"/>
        </w:rPr>
        <w:t>à prendre des décisions au sujet des client des SCTI qui pourraient être prêts à faire la transition vers des services moins intensifs</w:t>
      </w:r>
      <w:r w:rsidR="00A10933" w:rsidRPr="005340E1">
        <w:rPr>
          <w:rFonts w:ascii="Arial" w:hAnsi="Arial" w:cs="Arial"/>
          <w:sz w:val="22"/>
          <w:szCs w:val="22"/>
          <w:lang w:val="fr-CA"/>
        </w:rPr>
        <w:t xml:space="preserve">. </w:t>
      </w:r>
      <w:r w:rsidR="007B1C60" w:rsidRPr="005340E1">
        <w:rPr>
          <w:rFonts w:ascii="Arial" w:hAnsi="Arial" w:cs="Arial"/>
          <w:sz w:val="22"/>
          <w:szCs w:val="22"/>
          <w:lang w:val="fr-CA"/>
        </w:rPr>
        <w:t xml:space="preserve">Vous trouverez davantage de renseignements sur la façon de procéder dans un manuel technique qui sera bientôt </w:t>
      </w:r>
      <w:r w:rsidR="00C857E2" w:rsidRPr="005340E1">
        <w:rPr>
          <w:rFonts w:ascii="Arial" w:hAnsi="Arial" w:cs="Arial"/>
          <w:sz w:val="22"/>
          <w:szCs w:val="22"/>
          <w:lang w:val="fr-CA"/>
        </w:rPr>
        <w:t>disponible</w:t>
      </w:r>
      <w:r w:rsidR="00A10933" w:rsidRPr="005340E1">
        <w:rPr>
          <w:rFonts w:ascii="Arial" w:hAnsi="Arial" w:cs="Arial"/>
          <w:sz w:val="22"/>
          <w:szCs w:val="22"/>
          <w:lang w:val="fr-CA"/>
        </w:rPr>
        <w:t xml:space="preserve">. </w:t>
      </w:r>
      <w:r w:rsidR="00C857E2" w:rsidRPr="005340E1">
        <w:rPr>
          <w:rFonts w:ascii="Arial" w:hAnsi="Arial" w:cs="Arial"/>
          <w:sz w:val="22"/>
          <w:szCs w:val="22"/>
          <w:lang w:val="fr-CA"/>
        </w:rPr>
        <w:t xml:space="preserve">Les seuils de passage doivent seulement être utilisés </w:t>
      </w:r>
      <w:r w:rsidR="0021102F" w:rsidRPr="005340E1">
        <w:rPr>
          <w:rFonts w:ascii="Arial" w:hAnsi="Arial" w:cs="Arial"/>
          <w:sz w:val="22"/>
          <w:szCs w:val="22"/>
          <w:lang w:val="fr-CA"/>
        </w:rPr>
        <w:t>comme guide approximatif et non comme une règle définitive et immuable pour prendre les décisions concernant la transition des clients.</w:t>
      </w:r>
    </w:p>
    <w:p w14:paraId="284AAF40" w14:textId="27F3F46B" w:rsidR="00A10933" w:rsidRPr="005340E1" w:rsidRDefault="0021102F" w:rsidP="00A10933">
      <w:pPr>
        <w:spacing w:after="120"/>
        <w:ind w:firstLine="360"/>
        <w:rPr>
          <w:rFonts w:ascii="Arial" w:hAnsi="Arial" w:cs="Arial"/>
          <w:sz w:val="22"/>
          <w:szCs w:val="22"/>
          <w:lang w:val="fr-CA"/>
        </w:rPr>
      </w:pPr>
      <w:r w:rsidRPr="005340E1">
        <w:rPr>
          <w:rFonts w:ascii="Arial" w:hAnsi="Arial" w:cs="Arial"/>
          <w:sz w:val="22"/>
          <w:szCs w:val="22"/>
          <w:lang w:val="fr-CA"/>
        </w:rPr>
        <w:t xml:space="preserve">Dans ce contexte, les clients ayant un </w:t>
      </w:r>
      <w:r w:rsidRPr="000C5084">
        <w:rPr>
          <w:rFonts w:ascii="Arial" w:hAnsi="Arial" w:cs="Arial"/>
          <w:b/>
          <w:sz w:val="22"/>
          <w:szCs w:val="22"/>
          <w:lang w:val="fr-CA"/>
        </w:rPr>
        <w:t>score</w:t>
      </w:r>
      <w:r w:rsidRPr="005340E1">
        <w:rPr>
          <w:rFonts w:ascii="Arial" w:hAnsi="Arial" w:cs="Arial"/>
          <w:sz w:val="22"/>
          <w:szCs w:val="22"/>
          <w:lang w:val="fr-CA"/>
        </w:rPr>
        <w:t xml:space="preserve"> </w:t>
      </w:r>
      <w:r w:rsidRPr="005340E1">
        <w:rPr>
          <w:rFonts w:ascii="Arial" w:hAnsi="Arial" w:cs="Arial"/>
          <w:b/>
          <w:sz w:val="22"/>
          <w:szCs w:val="22"/>
          <w:lang w:val="fr-CA"/>
        </w:rPr>
        <w:t>to</w:t>
      </w:r>
      <w:r w:rsidR="00A10933" w:rsidRPr="005340E1">
        <w:rPr>
          <w:rFonts w:ascii="Arial" w:hAnsi="Arial" w:cs="Arial"/>
          <w:b/>
          <w:sz w:val="22"/>
          <w:szCs w:val="22"/>
          <w:lang w:val="fr-CA"/>
        </w:rPr>
        <w:t>tal</w:t>
      </w:r>
      <w:r w:rsidRPr="005340E1">
        <w:rPr>
          <w:rFonts w:ascii="Arial" w:hAnsi="Arial" w:cs="Arial"/>
          <w:sz w:val="22"/>
          <w:szCs w:val="22"/>
          <w:lang w:val="fr-CA"/>
        </w:rPr>
        <w:t xml:space="preserve"> à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 xml:space="preserve">© </w:t>
      </w:r>
      <w:r w:rsidRPr="005340E1">
        <w:rPr>
          <w:rFonts w:ascii="Arial" w:hAnsi="Arial" w:cs="Arial"/>
          <w:sz w:val="22"/>
          <w:szCs w:val="22"/>
          <w:lang w:val="fr-CA"/>
        </w:rPr>
        <w:t>qui est</w:t>
      </w:r>
      <w:r w:rsidRPr="005340E1">
        <w:rPr>
          <w:rFonts w:ascii="Arial" w:hAnsi="Arial" w:cs="Arial"/>
          <w:b/>
          <w:sz w:val="22"/>
          <w:szCs w:val="22"/>
          <w:lang w:val="fr-CA"/>
        </w:rPr>
        <w:t xml:space="preserve"> égal ou supérieur à </w:t>
      </w:r>
      <w:r w:rsidR="00A10933" w:rsidRPr="005340E1">
        <w:rPr>
          <w:rFonts w:ascii="Arial" w:hAnsi="Arial" w:cs="Arial"/>
          <w:b/>
          <w:sz w:val="22"/>
          <w:szCs w:val="22"/>
          <w:lang w:val="fr-CA"/>
        </w:rPr>
        <w:t>50</w:t>
      </w:r>
      <w:r w:rsidRPr="005340E1">
        <w:rPr>
          <w:rFonts w:ascii="Arial" w:hAnsi="Arial" w:cs="Arial"/>
          <w:sz w:val="22"/>
          <w:szCs w:val="22"/>
          <w:lang w:val="fr-CA"/>
        </w:rPr>
        <w:t xml:space="preserve"> pourraient être considérés comme de bons candidats pour la transition des </w:t>
      </w:r>
      <w:r w:rsidR="000C5084">
        <w:rPr>
          <w:rFonts w:ascii="Arial" w:hAnsi="Arial" w:cs="Arial"/>
          <w:sz w:val="22"/>
          <w:szCs w:val="22"/>
          <w:lang w:val="fr-CA"/>
        </w:rPr>
        <w:t xml:space="preserve">SCTI </w:t>
      </w:r>
      <w:r w:rsidRPr="005340E1">
        <w:rPr>
          <w:rFonts w:ascii="Arial" w:hAnsi="Arial" w:cs="Arial"/>
          <w:sz w:val="22"/>
          <w:szCs w:val="22"/>
          <w:lang w:val="fr-CA"/>
        </w:rPr>
        <w:t xml:space="preserve">vers des services moins intensifs. De même, les clients </w:t>
      </w:r>
      <w:r w:rsidR="005340E1" w:rsidRPr="005340E1">
        <w:rPr>
          <w:rFonts w:ascii="Arial" w:hAnsi="Arial" w:cs="Arial"/>
          <w:sz w:val="22"/>
          <w:szCs w:val="22"/>
          <w:lang w:val="fr-CA"/>
        </w:rPr>
        <w:t>ayant</w:t>
      </w:r>
      <w:r w:rsidRPr="005340E1">
        <w:rPr>
          <w:rFonts w:ascii="Arial" w:hAnsi="Arial" w:cs="Arial"/>
          <w:sz w:val="22"/>
          <w:szCs w:val="22"/>
          <w:lang w:val="fr-CA"/>
        </w:rPr>
        <w:t xml:space="preserve"> un </w:t>
      </w:r>
      <w:r w:rsidRPr="000C5084">
        <w:rPr>
          <w:rFonts w:ascii="Arial" w:hAnsi="Arial" w:cs="Arial"/>
          <w:b/>
          <w:sz w:val="22"/>
          <w:szCs w:val="22"/>
          <w:lang w:val="fr-CA"/>
        </w:rPr>
        <w:t>score</w:t>
      </w:r>
      <w:r w:rsidRPr="005340E1">
        <w:rPr>
          <w:rFonts w:ascii="Arial" w:hAnsi="Arial" w:cs="Arial"/>
          <w:sz w:val="22"/>
          <w:szCs w:val="22"/>
          <w:lang w:val="fr-CA"/>
        </w:rPr>
        <w:t xml:space="preserve"> </w:t>
      </w:r>
      <w:r w:rsidRPr="005340E1">
        <w:rPr>
          <w:rFonts w:ascii="Arial" w:hAnsi="Arial" w:cs="Arial"/>
          <w:b/>
          <w:sz w:val="22"/>
          <w:szCs w:val="22"/>
          <w:lang w:val="fr-CA"/>
        </w:rPr>
        <w:t xml:space="preserve">moyen </w:t>
      </w:r>
      <w:r w:rsidRPr="005340E1">
        <w:rPr>
          <w:rFonts w:ascii="Arial" w:hAnsi="Arial" w:cs="Arial"/>
          <w:sz w:val="22"/>
          <w:szCs w:val="22"/>
          <w:lang w:val="fr-CA"/>
        </w:rPr>
        <w:t xml:space="preserve">qui est </w:t>
      </w:r>
      <w:r w:rsidRPr="005340E1">
        <w:rPr>
          <w:rFonts w:ascii="Arial" w:hAnsi="Arial" w:cs="Arial"/>
          <w:b/>
          <w:sz w:val="22"/>
          <w:szCs w:val="22"/>
          <w:lang w:val="fr-CA"/>
        </w:rPr>
        <w:t>égal ou supérieur à 2,</w:t>
      </w:r>
      <w:r w:rsidR="00A10933" w:rsidRPr="005340E1">
        <w:rPr>
          <w:rFonts w:ascii="Arial" w:hAnsi="Arial" w:cs="Arial"/>
          <w:b/>
          <w:sz w:val="22"/>
          <w:szCs w:val="22"/>
          <w:lang w:val="fr-CA"/>
        </w:rPr>
        <w:t>8</w:t>
      </w:r>
      <w:r w:rsidR="00A10933" w:rsidRPr="005340E1">
        <w:rPr>
          <w:rFonts w:ascii="Arial" w:hAnsi="Arial" w:cs="Arial"/>
          <w:sz w:val="22"/>
          <w:szCs w:val="22"/>
          <w:lang w:val="fr-CA"/>
        </w:rPr>
        <w:t xml:space="preserve"> </w:t>
      </w:r>
      <w:r w:rsidRPr="005340E1">
        <w:rPr>
          <w:rFonts w:ascii="Arial" w:hAnsi="Arial" w:cs="Arial"/>
          <w:sz w:val="22"/>
          <w:szCs w:val="22"/>
          <w:lang w:val="fr-CA"/>
        </w:rPr>
        <w:t xml:space="preserve">pourraient être considérés comme de bons candidats pour la transition des </w:t>
      </w:r>
      <w:r w:rsidR="000C5084">
        <w:rPr>
          <w:rFonts w:ascii="Arial" w:hAnsi="Arial" w:cs="Arial"/>
          <w:sz w:val="22"/>
          <w:szCs w:val="22"/>
          <w:lang w:val="fr-CA"/>
        </w:rPr>
        <w:t xml:space="preserve">SCTI </w:t>
      </w:r>
      <w:r w:rsidRPr="005340E1">
        <w:rPr>
          <w:rFonts w:ascii="Arial" w:hAnsi="Arial" w:cs="Arial"/>
          <w:sz w:val="22"/>
          <w:szCs w:val="22"/>
          <w:lang w:val="fr-CA"/>
        </w:rPr>
        <w:t>vers des services moins intensifs</w:t>
      </w:r>
      <w:r w:rsidR="006B2100" w:rsidRPr="005340E1">
        <w:rPr>
          <w:rFonts w:ascii="Arial" w:hAnsi="Arial" w:cs="Arial"/>
          <w:sz w:val="22"/>
          <w:szCs w:val="22"/>
          <w:lang w:val="fr-CA"/>
        </w:rPr>
        <w:t>.</w:t>
      </w:r>
    </w:p>
    <w:p w14:paraId="5431FFBE" w14:textId="616839CA" w:rsidR="00A10933" w:rsidRPr="005340E1" w:rsidRDefault="006B2100" w:rsidP="00A10933">
      <w:pPr>
        <w:spacing w:after="120"/>
        <w:ind w:firstLine="360"/>
        <w:rPr>
          <w:rFonts w:ascii="Arial" w:hAnsi="Arial" w:cs="Arial"/>
          <w:sz w:val="22"/>
          <w:szCs w:val="22"/>
          <w:lang w:val="fr-CA"/>
        </w:rPr>
      </w:pPr>
      <w:r w:rsidRPr="005340E1">
        <w:rPr>
          <w:rFonts w:ascii="Arial" w:hAnsi="Arial" w:cs="Arial"/>
          <w:sz w:val="22"/>
          <w:szCs w:val="22"/>
          <w:lang w:val="fr-CA"/>
        </w:rPr>
        <w:t xml:space="preserve">Les mesures comme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Pr="005340E1">
        <w:rPr>
          <w:rFonts w:ascii="Arial" w:hAnsi="Arial" w:cs="Arial"/>
          <w:sz w:val="22"/>
          <w:szCs w:val="22"/>
          <w:lang w:val="fr-CA"/>
        </w:rPr>
        <w:t xml:space="preserve"> ne sont jamais </w:t>
      </w:r>
      <w:r w:rsidR="00CF5F15" w:rsidRPr="005340E1">
        <w:rPr>
          <w:rFonts w:ascii="Arial" w:hAnsi="Arial" w:cs="Arial"/>
          <w:sz w:val="22"/>
          <w:szCs w:val="22"/>
          <w:lang w:val="fr-CA"/>
        </w:rPr>
        <w:t xml:space="preserve">des outils parfaits pour prévoir ce </w:t>
      </w:r>
      <w:r w:rsidR="00014F83" w:rsidRPr="005340E1">
        <w:rPr>
          <w:rFonts w:ascii="Arial" w:hAnsi="Arial" w:cs="Arial"/>
          <w:sz w:val="22"/>
          <w:szCs w:val="22"/>
          <w:lang w:val="fr-CA"/>
        </w:rPr>
        <w:t xml:space="preserve">pour quoi </w:t>
      </w:r>
      <w:r w:rsidR="00CF5F15" w:rsidRPr="005340E1">
        <w:rPr>
          <w:rFonts w:ascii="Arial" w:hAnsi="Arial" w:cs="Arial"/>
          <w:sz w:val="22"/>
          <w:szCs w:val="22"/>
          <w:lang w:val="fr-CA"/>
        </w:rPr>
        <w:t>ils ont été conçus</w:t>
      </w:r>
      <w:r w:rsidR="00A10933" w:rsidRPr="005340E1">
        <w:rPr>
          <w:rFonts w:ascii="Arial" w:hAnsi="Arial" w:cs="Arial"/>
          <w:sz w:val="22"/>
          <w:szCs w:val="22"/>
          <w:lang w:val="fr-CA"/>
        </w:rPr>
        <w:t xml:space="preserve">. </w:t>
      </w:r>
      <w:r w:rsidR="0021102F" w:rsidRPr="005340E1">
        <w:rPr>
          <w:rFonts w:ascii="Arial" w:hAnsi="Arial" w:cs="Arial"/>
          <w:sz w:val="22"/>
          <w:szCs w:val="22"/>
          <w:lang w:val="fr-CA"/>
        </w:rPr>
        <w:t>Donc, comme pour tout outil de mesure</w:t>
      </w:r>
      <w:r w:rsidR="00A10933" w:rsidRPr="005340E1">
        <w:rPr>
          <w:rFonts w:ascii="Arial" w:hAnsi="Arial" w:cs="Arial"/>
          <w:sz w:val="22"/>
          <w:szCs w:val="22"/>
          <w:lang w:val="fr-CA"/>
        </w:rPr>
        <w:t>,</w:t>
      </w:r>
      <w:r w:rsidR="0021102F" w:rsidRPr="005340E1">
        <w:rPr>
          <w:rFonts w:ascii="Arial" w:hAnsi="Arial" w:cs="Arial"/>
          <w:sz w:val="22"/>
          <w:szCs w:val="22"/>
          <w:lang w:val="fr-CA"/>
        </w:rPr>
        <w:t xml:space="preserve"> il y a une certaine marge d’erreur de mesure inhérente</w:t>
      </w:r>
      <w:r w:rsidR="00FD42D9" w:rsidRPr="005340E1">
        <w:rPr>
          <w:rFonts w:ascii="Arial" w:hAnsi="Arial" w:cs="Arial"/>
          <w:sz w:val="22"/>
          <w:szCs w:val="22"/>
          <w:lang w:val="fr-CA"/>
        </w:rPr>
        <w:t xml:space="preserve">, et comme pour tout seuil ou valeur de passage, il y aura des </w:t>
      </w:r>
      <w:r w:rsidR="00454962" w:rsidRPr="005340E1">
        <w:rPr>
          <w:rFonts w:ascii="Arial" w:hAnsi="Arial" w:cs="Arial"/>
          <w:sz w:val="22"/>
          <w:szCs w:val="22"/>
          <w:lang w:val="fr-CA"/>
        </w:rPr>
        <w:t>erreurs de classification</w:t>
      </w:r>
      <w:r w:rsidR="00A10933" w:rsidRPr="005340E1">
        <w:rPr>
          <w:rFonts w:ascii="Arial" w:hAnsi="Arial" w:cs="Arial"/>
          <w:sz w:val="22"/>
          <w:szCs w:val="22"/>
          <w:lang w:val="fr-CA"/>
        </w:rPr>
        <w:t>. Id</w:t>
      </w:r>
      <w:r w:rsidR="0021102F" w:rsidRPr="005340E1">
        <w:rPr>
          <w:rFonts w:ascii="Arial" w:hAnsi="Arial" w:cs="Arial"/>
          <w:sz w:val="22"/>
          <w:szCs w:val="22"/>
          <w:lang w:val="fr-CA"/>
        </w:rPr>
        <w:t xml:space="preserve">éalement, une mesure devrait </w:t>
      </w:r>
      <w:r w:rsidR="00291F74" w:rsidRPr="005340E1">
        <w:rPr>
          <w:rFonts w:ascii="Arial" w:hAnsi="Arial" w:cs="Arial"/>
          <w:sz w:val="22"/>
          <w:szCs w:val="22"/>
          <w:lang w:val="fr-CA"/>
        </w:rPr>
        <w:t xml:space="preserve">maximiser les </w:t>
      </w:r>
      <w:r w:rsidR="007C5CF3" w:rsidRPr="005340E1">
        <w:rPr>
          <w:rFonts w:ascii="Arial" w:hAnsi="Arial" w:cs="Arial"/>
          <w:sz w:val="22"/>
          <w:szCs w:val="22"/>
          <w:lang w:val="fr-CA"/>
        </w:rPr>
        <w:t xml:space="preserve">vrais positifs </w:t>
      </w:r>
      <w:r w:rsidR="00A10933" w:rsidRPr="005340E1">
        <w:rPr>
          <w:rFonts w:ascii="Arial" w:hAnsi="Arial" w:cs="Arial"/>
          <w:sz w:val="22"/>
          <w:szCs w:val="22"/>
          <w:lang w:val="fr-CA"/>
        </w:rPr>
        <w:t>(</w:t>
      </w:r>
      <w:r w:rsidR="00291F74" w:rsidRPr="005340E1">
        <w:rPr>
          <w:rFonts w:ascii="Arial" w:hAnsi="Arial" w:cs="Arial"/>
          <w:sz w:val="22"/>
          <w:szCs w:val="22"/>
          <w:lang w:val="fr-CA"/>
        </w:rPr>
        <w:t>c.-à-d., identifier correctement les clients ayant un potentiel de réussir la transition lorsque c’est réellement le cas</w:t>
      </w:r>
      <w:r w:rsidR="00A10933" w:rsidRPr="005340E1">
        <w:rPr>
          <w:rFonts w:ascii="Arial" w:hAnsi="Arial" w:cs="Arial"/>
          <w:sz w:val="22"/>
          <w:szCs w:val="22"/>
          <w:lang w:val="fr-CA"/>
        </w:rPr>
        <w:t>)</w:t>
      </w:r>
      <w:r w:rsidR="00291F74" w:rsidRPr="005340E1">
        <w:rPr>
          <w:rFonts w:ascii="Arial" w:hAnsi="Arial" w:cs="Arial"/>
          <w:sz w:val="22"/>
          <w:szCs w:val="22"/>
          <w:lang w:val="fr-CA"/>
        </w:rPr>
        <w:t xml:space="preserve">, tout en minimisant les faux positifs </w:t>
      </w:r>
      <w:r w:rsidR="00A10933" w:rsidRPr="005340E1">
        <w:rPr>
          <w:rFonts w:ascii="Arial" w:hAnsi="Arial" w:cs="Arial"/>
          <w:sz w:val="22"/>
          <w:szCs w:val="22"/>
          <w:lang w:val="fr-CA"/>
        </w:rPr>
        <w:t>(</w:t>
      </w:r>
      <w:r w:rsidR="00291F74" w:rsidRPr="005340E1">
        <w:rPr>
          <w:rFonts w:ascii="Arial" w:hAnsi="Arial" w:cs="Arial"/>
          <w:sz w:val="22"/>
          <w:szCs w:val="22"/>
          <w:lang w:val="fr-CA"/>
        </w:rPr>
        <w:t xml:space="preserve">c.-à-d., </w:t>
      </w:r>
      <w:r w:rsidR="00FD42D9" w:rsidRPr="005340E1">
        <w:rPr>
          <w:rFonts w:ascii="Arial" w:hAnsi="Arial" w:cs="Arial"/>
          <w:sz w:val="22"/>
          <w:szCs w:val="22"/>
          <w:lang w:val="fr-CA"/>
        </w:rPr>
        <w:t>identifier incorrectement d</w:t>
      </w:r>
      <w:r w:rsidR="007C5CF3" w:rsidRPr="005340E1">
        <w:rPr>
          <w:rFonts w:ascii="Arial" w:hAnsi="Arial" w:cs="Arial"/>
          <w:sz w:val="22"/>
          <w:szCs w:val="22"/>
          <w:lang w:val="fr-CA"/>
        </w:rPr>
        <w:t xml:space="preserve">es clients </w:t>
      </w:r>
      <w:r w:rsidR="00FD42D9" w:rsidRPr="005340E1">
        <w:rPr>
          <w:rFonts w:ascii="Arial" w:hAnsi="Arial" w:cs="Arial"/>
          <w:sz w:val="22"/>
          <w:szCs w:val="22"/>
          <w:lang w:val="fr-CA"/>
        </w:rPr>
        <w:t xml:space="preserve">comme </w:t>
      </w:r>
      <w:r w:rsidR="007C5CF3" w:rsidRPr="005340E1">
        <w:rPr>
          <w:rFonts w:ascii="Arial" w:hAnsi="Arial" w:cs="Arial"/>
          <w:sz w:val="22"/>
          <w:szCs w:val="22"/>
          <w:lang w:val="fr-CA"/>
        </w:rPr>
        <w:t>ayant un potentiel de réussir la transition lorsque ce n’est pas le cas).</w:t>
      </w:r>
    </w:p>
    <w:p w14:paraId="1D2CFF88" w14:textId="5E8AE4B1" w:rsidR="00A10933" w:rsidRPr="005340E1" w:rsidRDefault="00291F74" w:rsidP="00A10933">
      <w:pPr>
        <w:spacing w:after="120"/>
        <w:ind w:firstLine="360"/>
        <w:rPr>
          <w:rFonts w:ascii="Arial" w:hAnsi="Arial" w:cs="Arial"/>
          <w:sz w:val="22"/>
          <w:szCs w:val="22"/>
          <w:lang w:val="fr-CA"/>
        </w:rPr>
      </w:pPr>
      <w:r w:rsidRPr="005340E1">
        <w:rPr>
          <w:rFonts w:ascii="Arial" w:hAnsi="Arial" w:cs="Arial"/>
          <w:sz w:val="22"/>
          <w:szCs w:val="22"/>
          <w:lang w:val="fr-CA"/>
        </w:rPr>
        <w:t xml:space="preserve">L’utilisation des </w:t>
      </w:r>
      <w:r w:rsidR="00C857E2" w:rsidRPr="005340E1">
        <w:rPr>
          <w:rFonts w:ascii="Arial" w:hAnsi="Arial" w:cs="Arial"/>
          <w:sz w:val="22"/>
          <w:szCs w:val="22"/>
          <w:lang w:val="fr-CA"/>
        </w:rPr>
        <w:t>seuils de passage</w:t>
      </w:r>
      <w:r w:rsidRPr="005340E1">
        <w:rPr>
          <w:rFonts w:ascii="Arial" w:hAnsi="Arial" w:cs="Arial"/>
          <w:sz w:val="22"/>
          <w:szCs w:val="22"/>
          <w:lang w:val="fr-CA"/>
        </w:rPr>
        <w:t xml:space="preserve"> ci-dessus </w:t>
      </w:r>
      <w:r w:rsidR="006B2100" w:rsidRPr="005340E1">
        <w:rPr>
          <w:rFonts w:ascii="Arial" w:hAnsi="Arial" w:cs="Arial"/>
          <w:sz w:val="22"/>
          <w:szCs w:val="22"/>
          <w:lang w:val="fr-CA"/>
        </w:rPr>
        <w:t xml:space="preserve">vous permettra d’identifier correctement environ </w:t>
      </w:r>
      <w:r w:rsidR="00A10933" w:rsidRPr="005340E1">
        <w:rPr>
          <w:rFonts w:ascii="Arial" w:hAnsi="Arial" w:cs="Arial"/>
          <w:sz w:val="22"/>
          <w:szCs w:val="22"/>
          <w:lang w:val="fr-CA"/>
        </w:rPr>
        <w:t>75</w:t>
      </w:r>
      <w:r w:rsidR="006B2100" w:rsidRPr="005340E1">
        <w:rPr>
          <w:rFonts w:ascii="Arial" w:hAnsi="Arial" w:cs="Arial"/>
          <w:sz w:val="22"/>
          <w:szCs w:val="22"/>
          <w:lang w:val="fr-CA"/>
        </w:rPr>
        <w:t> </w:t>
      </w:r>
      <w:r w:rsidR="00A10933" w:rsidRPr="005340E1">
        <w:rPr>
          <w:rFonts w:ascii="Arial" w:hAnsi="Arial" w:cs="Arial"/>
          <w:sz w:val="22"/>
          <w:szCs w:val="22"/>
          <w:lang w:val="fr-CA"/>
        </w:rPr>
        <w:t>%</w:t>
      </w:r>
      <w:r w:rsidR="006B2100" w:rsidRPr="005340E1">
        <w:rPr>
          <w:rFonts w:ascii="Arial" w:hAnsi="Arial" w:cs="Arial"/>
          <w:sz w:val="22"/>
          <w:szCs w:val="22"/>
          <w:lang w:val="fr-CA"/>
        </w:rPr>
        <w:t xml:space="preserve"> de vos clients qui ont </w:t>
      </w:r>
      <w:r w:rsidRPr="005340E1">
        <w:rPr>
          <w:rFonts w:ascii="Arial" w:hAnsi="Arial" w:cs="Arial"/>
          <w:sz w:val="22"/>
          <w:szCs w:val="22"/>
          <w:lang w:val="fr-CA"/>
        </w:rPr>
        <w:t>un potentiel de transition lorsque c’est le cas, mais</w:t>
      </w:r>
      <w:r w:rsidR="00FD42D9" w:rsidRPr="005340E1">
        <w:rPr>
          <w:rFonts w:ascii="Arial" w:hAnsi="Arial" w:cs="Arial"/>
          <w:sz w:val="22"/>
          <w:szCs w:val="22"/>
          <w:lang w:val="fr-CA"/>
        </w:rPr>
        <w:t xml:space="preserve"> entraîne aussi l’identification </w:t>
      </w:r>
      <w:r w:rsidR="005340E1" w:rsidRPr="005340E1">
        <w:rPr>
          <w:rFonts w:ascii="Arial" w:hAnsi="Arial" w:cs="Arial"/>
          <w:sz w:val="22"/>
          <w:szCs w:val="22"/>
          <w:lang w:val="fr-CA"/>
        </w:rPr>
        <w:t>erronées</w:t>
      </w:r>
      <w:r w:rsidR="00FD42D9" w:rsidRPr="005340E1">
        <w:rPr>
          <w:rFonts w:ascii="Arial" w:hAnsi="Arial" w:cs="Arial"/>
          <w:sz w:val="22"/>
          <w:szCs w:val="22"/>
          <w:lang w:val="fr-CA"/>
        </w:rPr>
        <w:t xml:space="preserve"> d’environ </w:t>
      </w:r>
      <w:r w:rsidRPr="005340E1">
        <w:rPr>
          <w:rFonts w:ascii="Arial" w:hAnsi="Arial" w:cs="Arial"/>
          <w:sz w:val="22"/>
          <w:szCs w:val="22"/>
          <w:lang w:val="fr-CA"/>
        </w:rPr>
        <w:t xml:space="preserve">22 % de vos clients comment ayant un potentiel de transition alors que ce n’est pas le cas. C’est pourquoi il est important de se rappeler que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Pr="005340E1">
        <w:rPr>
          <w:rFonts w:ascii="Arial" w:hAnsi="Arial" w:cs="Arial"/>
          <w:sz w:val="22"/>
          <w:szCs w:val="22"/>
          <w:lang w:val="fr-CA"/>
        </w:rPr>
        <w:t xml:space="preserve"> doit être utilisée de concert avec le jugement clinique, l’expérience de pratique et d’autres ressources pour prendre des décisions au sujet de la transition des clients.</w:t>
      </w:r>
    </w:p>
    <w:p w14:paraId="42041C4A" w14:textId="43E96567" w:rsidR="00E161A4" w:rsidRPr="005340E1" w:rsidRDefault="00C857E2" w:rsidP="00662BDA">
      <w:pPr>
        <w:spacing w:after="120"/>
        <w:ind w:firstLine="360"/>
        <w:rPr>
          <w:rFonts w:ascii="Arial" w:hAnsi="Arial" w:cs="Arial"/>
          <w:lang w:val="fr-CA"/>
        </w:rPr>
      </w:pPr>
      <w:r w:rsidRPr="005340E1">
        <w:rPr>
          <w:rFonts w:ascii="Arial" w:hAnsi="Arial" w:cs="Arial"/>
          <w:sz w:val="22"/>
          <w:szCs w:val="22"/>
          <w:lang w:val="fr-CA"/>
        </w:rPr>
        <w:t xml:space="preserve">Tel qu’indiqué plus tôt, ces seuils doivent seulement </w:t>
      </w:r>
      <w:r w:rsidR="00CF5F15" w:rsidRPr="005340E1">
        <w:rPr>
          <w:rFonts w:ascii="Arial" w:hAnsi="Arial" w:cs="Arial"/>
          <w:sz w:val="22"/>
          <w:szCs w:val="22"/>
          <w:lang w:val="fr-CA"/>
        </w:rPr>
        <w:t>servir d’indications générales</w:t>
      </w:r>
      <w:r w:rsidR="00A10933" w:rsidRPr="005340E1">
        <w:rPr>
          <w:rFonts w:ascii="Arial" w:hAnsi="Arial" w:cs="Arial"/>
          <w:sz w:val="22"/>
          <w:szCs w:val="22"/>
          <w:lang w:val="fr-CA"/>
        </w:rPr>
        <w:t xml:space="preserve">. </w:t>
      </w:r>
      <w:r w:rsidRPr="005340E1">
        <w:rPr>
          <w:rFonts w:ascii="Arial" w:hAnsi="Arial" w:cs="Arial"/>
          <w:sz w:val="22"/>
          <w:szCs w:val="22"/>
          <w:lang w:val="fr-CA"/>
        </w:rPr>
        <w:t xml:space="preserve">Par exemple, si un client a un score total de </w:t>
      </w:r>
      <w:r w:rsidR="00A10933" w:rsidRPr="005340E1">
        <w:rPr>
          <w:rFonts w:ascii="Arial" w:hAnsi="Arial" w:cs="Arial"/>
          <w:sz w:val="22"/>
          <w:szCs w:val="22"/>
          <w:lang w:val="fr-CA"/>
        </w:rPr>
        <w:t>25</w:t>
      </w:r>
      <w:r w:rsidRPr="005340E1">
        <w:rPr>
          <w:rFonts w:ascii="Arial" w:hAnsi="Arial" w:cs="Arial"/>
          <w:sz w:val="22"/>
          <w:szCs w:val="22"/>
          <w:lang w:val="fr-CA"/>
        </w:rPr>
        <w:t xml:space="preserve"> sur 72 à la grille ATR</w:t>
      </w:r>
      <w:r w:rsidRPr="005340E1">
        <w:rPr>
          <w:rFonts w:ascii="Arial" w:hAnsi="Arial" w:cs="Arial"/>
          <w:sz w:val="22"/>
          <w:szCs w:val="22"/>
          <w:vertAlign w:val="superscript"/>
          <w:lang w:val="fr-CA"/>
        </w:rPr>
        <w:t>©</w:t>
      </w:r>
      <w:r w:rsidR="00A10933" w:rsidRPr="005340E1">
        <w:rPr>
          <w:rFonts w:ascii="Arial" w:hAnsi="Arial" w:cs="Arial"/>
          <w:sz w:val="22"/>
          <w:szCs w:val="22"/>
          <w:lang w:val="fr-CA"/>
        </w:rPr>
        <w:t xml:space="preserve">, </w:t>
      </w:r>
      <w:r w:rsidRPr="005340E1">
        <w:rPr>
          <w:rFonts w:ascii="Arial" w:hAnsi="Arial" w:cs="Arial"/>
          <w:sz w:val="22"/>
          <w:szCs w:val="22"/>
          <w:lang w:val="fr-CA"/>
        </w:rPr>
        <w:t xml:space="preserve">cette personne ne serait </w:t>
      </w:r>
      <w:r w:rsidRPr="005340E1">
        <w:rPr>
          <w:rFonts w:ascii="Arial" w:hAnsi="Arial" w:cs="Arial"/>
          <w:sz w:val="22"/>
          <w:szCs w:val="22"/>
          <w:u w:val="single"/>
          <w:lang w:val="fr-CA"/>
        </w:rPr>
        <w:t>pas</w:t>
      </w:r>
      <w:r w:rsidRPr="005340E1">
        <w:rPr>
          <w:rFonts w:ascii="Arial" w:hAnsi="Arial" w:cs="Arial"/>
          <w:sz w:val="22"/>
          <w:szCs w:val="22"/>
          <w:lang w:val="fr-CA"/>
        </w:rPr>
        <w:t xml:space="preserve"> une bonne candidate </w:t>
      </w:r>
      <w:r w:rsidR="00CF5F15" w:rsidRPr="005340E1">
        <w:rPr>
          <w:rFonts w:ascii="Arial" w:hAnsi="Arial" w:cs="Arial"/>
          <w:sz w:val="22"/>
          <w:szCs w:val="22"/>
          <w:lang w:val="fr-CA"/>
        </w:rPr>
        <w:t>à la</w:t>
      </w:r>
      <w:r w:rsidR="00A10933" w:rsidRPr="005340E1">
        <w:rPr>
          <w:rFonts w:ascii="Arial" w:hAnsi="Arial" w:cs="Arial"/>
          <w:sz w:val="22"/>
          <w:szCs w:val="22"/>
          <w:lang w:val="fr-CA"/>
        </w:rPr>
        <w:t xml:space="preserve"> transition. </w:t>
      </w:r>
      <w:r w:rsidR="00CF5F15" w:rsidRPr="005340E1">
        <w:rPr>
          <w:rFonts w:ascii="Arial" w:hAnsi="Arial" w:cs="Arial"/>
          <w:sz w:val="22"/>
          <w:szCs w:val="22"/>
          <w:lang w:val="fr-CA"/>
        </w:rPr>
        <w:t xml:space="preserve">Si un client a un score de </w:t>
      </w:r>
      <w:r w:rsidR="00A10933" w:rsidRPr="005340E1">
        <w:rPr>
          <w:rFonts w:ascii="Arial" w:hAnsi="Arial" w:cs="Arial"/>
          <w:sz w:val="22"/>
          <w:szCs w:val="22"/>
          <w:lang w:val="fr-CA"/>
        </w:rPr>
        <w:t>68</w:t>
      </w:r>
      <w:r w:rsidR="00CF5F15" w:rsidRPr="005340E1">
        <w:rPr>
          <w:rFonts w:ascii="Arial" w:hAnsi="Arial" w:cs="Arial"/>
          <w:sz w:val="22"/>
          <w:szCs w:val="22"/>
          <w:lang w:val="fr-CA"/>
        </w:rPr>
        <w:t xml:space="preserve"> sur </w:t>
      </w:r>
      <w:r w:rsidR="00A10933" w:rsidRPr="005340E1">
        <w:rPr>
          <w:rFonts w:ascii="Arial" w:hAnsi="Arial" w:cs="Arial"/>
          <w:sz w:val="22"/>
          <w:szCs w:val="22"/>
          <w:lang w:val="fr-CA"/>
        </w:rPr>
        <w:t xml:space="preserve">72 </w:t>
      </w:r>
      <w:r w:rsidR="00CF5F15" w:rsidRPr="005340E1">
        <w:rPr>
          <w:rFonts w:ascii="Arial" w:hAnsi="Arial" w:cs="Arial"/>
          <w:sz w:val="22"/>
          <w:szCs w:val="22"/>
          <w:lang w:val="fr-CA"/>
        </w:rPr>
        <w:t>à la grille ATR</w:t>
      </w:r>
      <w:r w:rsidR="00CF5F15" w:rsidRPr="005340E1">
        <w:rPr>
          <w:rFonts w:ascii="Arial" w:hAnsi="Arial" w:cs="Arial"/>
          <w:sz w:val="22"/>
          <w:szCs w:val="22"/>
          <w:vertAlign w:val="superscript"/>
          <w:lang w:val="fr-CA"/>
        </w:rPr>
        <w:t>©</w:t>
      </w:r>
      <w:r w:rsidR="00CF5F15" w:rsidRPr="005340E1">
        <w:rPr>
          <w:rFonts w:ascii="Arial" w:hAnsi="Arial" w:cs="Arial"/>
          <w:sz w:val="22"/>
          <w:szCs w:val="22"/>
          <w:lang w:val="fr-CA"/>
        </w:rPr>
        <w:t>, cette personne pourrait être une bonne candidate à la transition</w:t>
      </w:r>
      <w:r w:rsidR="00A10933" w:rsidRPr="005340E1">
        <w:rPr>
          <w:rFonts w:ascii="Arial" w:hAnsi="Arial" w:cs="Arial"/>
          <w:sz w:val="22"/>
          <w:szCs w:val="22"/>
          <w:lang w:val="fr-CA"/>
        </w:rPr>
        <w:t xml:space="preserve">. </w:t>
      </w:r>
      <w:r w:rsidR="00CF5F15" w:rsidRPr="005340E1">
        <w:rPr>
          <w:rFonts w:ascii="Arial" w:hAnsi="Arial" w:cs="Arial"/>
          <w:sz w:val="22"/>
          <w:szCs w:val="22"/>
          <w:lang w:val="fr-CA"/>
        </w:rPr>
        <w:t>Plus le score d’un client est éloigné du seuil de passage, plus il sera facile d’évaluer la préparation du client à la transition; toutefois, plus le score d’un client est rapproché du seuil de passage, plus il sera difficile de prendre une décision au sujet de sa transition</w:t>
      </w:r>
      <w:r w:rsidR="00A10933" w:rsidRPr="005340E1">
        <w:rPr>
          <w:rFonts w:ascii="Arial" w:hAnsi="Arial" w:cs="Arial"/>
          <w:sz w:val="22"/>
          <w:szCs w:val="22"/>
          <w:lang w:val="fr-CA"/>
        </w:rPr>
        <w:t xml:space="preserve">. </w:t>
      </w:r>
      <w:r w:rsidR="00CF5F15" w:rsidRPr="005340E1">
        <w:rPr>
          <w:rFonts w:ascii="Arial" w:hAnsi="Arial" w:cs="Arial"/>
          <w:sz w:val="22"/>
          <w:szCs w:val="22"/>
          <w:lang w:val="fr-CA"/>
        </w:rPr>
        <w:t xml:space="preserve">Une fois de plus, ces seuils de passage donne une indication générale, et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CF5F15" w:rsidRPr="005340E1">
        <w:rPr>
          <w:rFonts w:ascii="Arial" w:hAnsi="Arial" w:cs="Arial"/>
          <w:sz w:val="22"/>
          <w:szCs w:val="22"/>
          <w:lang w:val="fr-CA"/>
        </w:rPr>
        <w:t xml:space="preserve"> ne devrait pas</w:t>
      </w:r>
      <w:r w:rsidR="000C5084">
        <w:rPr>
          <w:rFonts w:ascii="Arial" w:hAnsi="Arial" w:cs="Arial"/>
          <w:sz w:val="22"/>
          <w:szCs w:val="22"/>
          <w:lang w:val="fr-CA"/>
        </w:rPr>
        <w:t xml:space="preserve"> être la seule méthode utilisée</w:t>
      </w:r>
      <w:r w:rsidR="00CF5F15" w:rsidRPr="005340E1">
        <w:rPr>
          <w:rFonts w:ascii="Arial" w:hAnsi="Arial" w:cs="Arial"/>
          <w:sz w:val="22"/>
          <w:szCs w:val="22"/>
          <w:lang w:val="fr-CA"/>
        </w:rPr>
        <w:t xml:space="preserve"> pour prendre les décisions au sujet de la transition des clients.</w:t>
      </w:r>
      <w:r w:rsidR="00E161A4" w:rsidRPr="005340E1">
        <w:rPr>
          <w:rFonts w:ascii="Arial" w:hAnsi="Arial" w:cs="Arial"/>
          <w:lang w:val="fr-CA"/>
        </w:rPr>
        <w:br w:type="page"/>
      </w:r>
    </w:p>
    <w:p w14:paraId="32BE1B13" w14:textId="77777777" w:rsidR="00A10933" w:rsidRPr="005340E1" w:rsidRDefault="00C52B80" w:rsidP="00A10933">
      <w:pPr>
        <w:spacing w:after="120"/>
        <w:rPr>
          <w:rFonts w:ascii="Arial" w:hAnsi="Arial" w:cs="Arial"/>
          <w:highlight w:val="yellow"/>
          <w:lang w:val="fr-CA"/>
        </w:rPr>
      </w:pPr>
      <w:r>
        <w:rPr>
          <w:rFonts w:ascii="Arial" w:hAnsi="Arial" w:cs="Arial"/>
          <w:highlight w:val="yellow"/>
          <w:lang w:val="fr-CA"/>
        </w:rPr>
        <w:lastRenderedPageBreak/>
        <w:pict w14:anchorId="7D3345C5">
          <v:shape id="_x0000_s2825" type="#_x0000_t32" style="position:absolute;margin-left:-3pt;margin-top:7.55pt;width:474pt;height:0;z-index:251675648" o:connectortype="straight" strokeweight="2pt"/>
        </w:pict>
      </w:r>
    </w:p>
    <w:p w14:paraId="422179B9" w14:textId="4FF8C1B4" w:rsidR="00A10933" w:rsidRPr="005340E1" w:rsidRDefault="00A10933" w:rsidP="00A10933">
      <w:pPr>
        <w:spacing w:after="120"/>
        <w:rPr>
          <w:rFonts w:ascii="Arial" w:hAnsi="Arial" w:cs="Arial"/>
          <w:b/>
          <w:i/>
          <w:sz w:val="32"/>
          <w:szCs w:val="32"/>
          <w:lang w:val="fr-CA"/>
        </w:rPr>
      </w:pPr>
      <w:r w:rsidRPr="005340E1">
        <w:rPr>
          <w:rFonts w:ascii="Arial" w:hAnsi="Arial" w:cs="Arial"/>
          <w:b/>
          <w:i/>
          <w:sz w:val="32"/>
          <w:szCs w:val="32"/>
          <w:lang w:val="fr-CA"/>
        </w:rPr>
        <w:t>CHAP</w:t>
      </w:r>
      <w:r w:rsidR="00175603" w:rsidRPr="005340E1">
        <w:rPr>
          <w:rFonts w:ascii="Arial" w:hAnsi="Arial" w:cs="Arial"/>
          <w:b/>
          <w:i/>
          <w:sz w:val="32"/>
          <w:szCs w:val="32"/>
          <w:lang w:val="fr-CA"/>
        </w:rPr>
        <w:t>IT</w:t>
      </w:r>
      <w:r w:rsidRPr="005340E1">
        <w:rPr>
          <w:rFonts w:ascii="Arial" w:hAnsi="Arial" w:cs="Arial"/>
          <w:b/>
          <w:i/>
          <w:sz w:val="32"/>
          <w:szCs w:val="32"/>
          <w:lang w:val="fr-CA"/>
        </w:rPr>
        <w:t>R</w:t>
      </w:r>
      <w:r w:rsidR="00175603" w:rsidRPr="005340E1">
        <w:rPr>
          <w:rFonts w:ascii="Arial" w:hAnsi="Arial" w:cs="Arial"/>
          <w:b/>
          <w:i/>
          <w:sz w:val="32"/>
          <w:szCs w:val="32"/>
          <w:lang w:val="fr-CA"/>
        </w:rPr>
        <w:t>E</w:t>
      </w:r>
      <w:r w:rsidRPr="005340E1">
        <w:rPr>
          <w:rFonts w:ascii="Arial" w:hAnsi="Arial" w:cs="Arial"/>
          <w:b/>
          <w:i/>
          <w:sz w:val="32"/>
          <w:szCs w:val="32"/>
          <w:lang w:val="fr-CA"/>
        </w:rPr>
        <w:t xml:space="preserve"> 3</w:t>
      </w:r>
      <w:r w:rsidR="00175603" w:rsidRPr="005340E1">
        <w:rPr>
          <w:rFonts w:ascii="Arial" w:hAnsi="Arial" w:cs="Arial"/>
          <w:b/>
          <w:i/>
          <w:sz w:val="32"/>
          <w:szCs w:val="32"/>
          <w:lang w:val="fr-CA"/>
        </w:rPr>
        <w:t> </w:t>
      </w:r>
      <w:r w:rsidRPr="005340E1">
        <w:rPr>
          <w:rFonts w:ascii="Arial" w:hAnsi="Arial" w:cs="Arial"/>
          <w:b/>
          <w:i/>
          <w:sz w:val="32"/>
          <w:szCs w:val="32"/>
          <w:lang w:val="fr-CA"/>
        </w:rPr>
        <w:t xml:space="preserve">: ADMINISTRATION </w:t>
      </w:r>
      <w:r w:rsidR="00175603" w:rsidRPr="005340E1">
        <w:rPr>
          <w:rFonts w:ascii="Arial" w:hAnsi="Arial" w:cs="Arial"/>
          <w:b/>
          <w:i/>
          <w:sz w:val="32"/>
          <w:szCs w:val="32"/>
          <w:lang w:val="fr-CA"/>
        </w:rPr>
        <w:t>ET UTILISATION</w:t>
      </w:r>
    </w:p>
    <w:p w14:paraId="19479589" w14:textId="77777777" w:rsidR="00A10933" w:rsidRPr="005340E1" w:rsidRDefault="00C52B80" w:rsidP="00A10933">
      <w:pPr>
        <w:spacing w:after="120"/>
        <w:rPr>
          <w:rFonts w:ascii="Arial" w:hAnsi="Arial" w:cs="Arial"/>
          <w:lang w:val="fr-CA"/>
        </w:rPr>
      </w:pPr>
      <w:r>
        <w:rPr>
          <w:rFonts w:ascii="Arial" w:hAnsi="Arial" w:cs="Arial"/>
          <w:b/>
          <w:i/>
          <w:sz w:val="28"/>
          <w:szCs w:val="28"/>
          <w:lang w:val="fr-CA"/>
        </w:rPr>
        <w:pict w14:anchorId="3308939F">
          <v:shape id="_x0000_s2813" type="#_x0000_t32" style="position:absolute;margin-left:-3pt;margin-top:3.4pt;width:474pt;height:0;z-index:251663360" o:connectortype="straight" strokeweight="2pt"/>
        </w:pict>
      </w:r>
    </w:p>
    <w:p w14:paraId="6A406EC0" w14:textId="6B325DD0" w:rsidR="000C4E2F" w:rsidRPr="005340E1" w:rsidRDefault="00175603" w:rsidP="000C4E2F">
      <w:pPr>
        <w:spacing w:after="120"/>
        <w:rPr>
          <w:rFonts w:ascii="Arial" w:hAnsi="Arial" w:cs="Arial"/>
          <w:b/>
          <w:i/>
          <w:sz w:val="22"/>
          <w:szCs w:val="22"/>
          <w:lang w:val="fr-CA"/>
        </w:rPr>
      </w:pPr>
      <w:r w:rsidRPr="005340E1">
        <w:rPr>
          <w:rFonts w:ascii="Arial" w:hAnsi="Arial" w:cs="Arial"/>
          <w:b/>
          <w:i/>
          <w:sz w:val="22"/>
          <w:szCs w:val="22"/>
          <w:lang w:val="fr-CA"/>
        </w:rPr>
        <w:t>Aperçu du chapitre</w:t>
      </w:r>
    </w:p>
    <w:p w14:paraId="44E5AE9D" w14:textId="349ACE88" w:rsidR="000C4E2F" w:rsidRPr="005340E1" w:rsidRDefault="00AE3E27" w:rsidP="000C4E2F">
      <w:pPr>
        <w:spacing w:after="120"/>
        <w:rPr>
          <w:rFonts w:ascii="Arial" w:hAnsi="Arial" w:cs="Arial"/>
          <w:sz w:val="22"/>
          <w:szCs w:val="22"/>
          <w:lang w:val="fr-CA"/>
        </w:rPr>
      </w:pPr>
      <w:r w:rsidRPr="005340E1">
        <w:rPr>
          <w:rFonts w:ascii="Arial" w:hAnsi="Arial" w:cs="Arial"/>
          <w:sz w:val="22"/>
          <w:szCs w:val="22"/>
          <w:lang w:val="fr-CA"/>
        </w:rPr>
        <w:t xml:space="preserve">Le chapitre 3 traite de l’administration et de l’utilisation de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Pr="005340E1">
        <w:rPr>
          <w:rFonts w:ascii="Arial" w:hAnsi="Arial" w:cs="Arial"/>
          <w:sz w:val="22"/>
          <w:szCs w:val="22"/>
          <w:lang w:val="fr-CA"/>
        </w:rPr>
        <w:t xml:space="preserve">. Dans ce chapitre, nous allons présenter les lignes directrices qui précisent </w:t>
      </w:r>
      <w:r w:rsidR="003A2D0C">
        <w:rPr>
          <w:rFonts w:ascii="Arial" w:hAnsi="Arial" w:cs="Arial"/>
          <w:sz w:val="22"/>
          <w:szCs w:val="22"/>
          <w:lang w:val="fr-CA"/>
        </w:rPr>
        <w:t>quand</w:t>
      </w:r>
      <w:r w:rsidRPr="005340E1">
        <w:rPr>
          <w:rFonts w:ascii="Arial" w:hAnsi="Arial" w:cs="Arial"/>
          <w:sz w:val="22"/>
          <w:szCs w:val="22"/>
          <w:lang w:val="fr-CA"/>
        </w:rPr>
        <w:t xml:space="preserve"> remplir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0C4E2F" w:rsidRPr="005340E1">
        <w:rPr>
          <w:rFonts w:ascii="Arial" w:hAnsi="Arial" w:cs="Arial"/>
          <w:sz w:val="22"/>
          <w:szCs w:val="22"/>
          <w:lang w:val="fr-CA"/>
        </w:rPr>
        <w:t xml:space="preserve">. </w:t>
      </w:r>
      <w:r w:rsidR="005340E1" w:rsidRPr="005340E1">
        <w:rPr>
          <w:rFonts w:ascii="Arial" w:hAnsi="Arial" w:cs="Arial"/>
          <w:sz w:val="22"/>
          <w:szCs w:val="22"/>
          <w:lang w:val="fr-CA"/>
        </w:rPr>
        <w:t>Ensuite</w:t>
      </w:r>
      <w:r w:rsidR="00CE35E1" w:rsidRPr="005340E1">
        <w:rPr>
          <w:rFonts w:ascii="Arial" w:hAnsi="Arial" w:cs="Arial"/>
          <w:sz w:val="22"/>
          <w:szCs w:val="22"/>
          <w:lang w:val="fr-CA"/>
        </w:rPr>
        <w:t xml:space="preserve"> nous expliquerons comment remplir la grille</w:t>
      </w:r>
      <w:r w:rsidR="000C4E2F" w:rsidRPr="005340E1">
        <w:rPr>
          <w:rFonts w:ascii="Arial" w:hAnsi="Arial" w:cs="Arial"/>
          <w:sz w:val="22"/>
          <w:szCs w:val="22"/>
          <w:lang w:val="fr-CA"/>
        </w:rPr>
        <w:t xml:space="preserv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CE35E1" w:rsidRPr="005340E1">
        <w:rPr>
          <w:rFonts w:ascii="Arial" w:hAnsi="Arial" w:cs="Arial"/>
          <w:sz w:val="22"/>
          <w:szCs w:val="22"/>
          <w:lang w:val="fr-CA"/>
        </w:rPr>
        <w:t xml:space="preserve">. Ce chapitre ce conclura par une discussion sur la façon d’utiliser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CE35E1" w:rsidRPr="005340E1">
        <w:rPr>
          <w:rFonts w:ascii="Arial" w:hAnsi="Arial" w:cs="Arial"/>
          <w:sz w:val="22"/>
          <w:szCs w:val="22"/>
          <w:lang w:val="fr-CA"/>
        </w:rPr>
        <w:t>.</w:t>
      </w:r>
    </w:p>
    <w:p w14:paraId="3A68A855" w14:textId="77777777" w:rsidR="000C4E2F" w:rsidRPr="005340E1" w:rsidRDefault="00C52B80" w:rsidP="000C4E2F">
      <w:pPr>
        <w:spacing w:after="120"/>
        <w:rPr>
          <w:rFonts w:ascii="Arial" w:hAnsi="Arial" w:cs="Arial"/>
          <w:sz w:val="22"/>
          <w:szCs w:val="22"/>
          <w:highlight w:val="yellow"/>
          <w:lang w:val="fr-CA"/>
        </w:rPr>
      </w:pPr>
      <w:r>
        <w:rPr>
          <w:rFonts w:ascii="Arial" w:hAnsi="Arial" w:cs="Arial"/>
          <w:sz w:val="22"/>
          <w:szCs w:val="22"/>
          <w:highlight w:val="yellow"/>
          <w:lang w:val="fr-CA"/>
        </w:rPr>
        <w:pict w14:anchorId="6B141ABE">
          <v:shape id="_x0000_s2838" type="#_x0000_t32" style="position:absolute;margin-left:-3pt;margin-top:7pt;width:474pt;height:0;z-index:251684864" o:connectortype="straight" strokeweight="2pt"/>
        </w:pict>
      </w:r>
    </w:p>
    <w:p w14:paraId="5C0EA2EA" w14:textId="5469398D" w:rsidR="00A10933" w:rsidRPr="005340E1" w:rsidRDefault="00175603" w:rsidP="000C4E2F">
      <w:pPr>
        <w:spacing w:after="120"/>
        <w:rPr>
          <w:rFonts w:ascii="Arial" w:hAnsi="Arial" w:cs="Arial"/>
          <w:b/>
          <w:i/>
          <w:sz w:val="22"/>
          <w:szCs w:val="22"/>
          <w:lang w:val="fr-CA"/>
        </w:rPr>
      </w:pPr>
      <w:r w:rsidRPr="005340E1">
        <w:rPr>
          <w:rFonts w:ascii="Arial" w:hAnsi="Arial" w:cs="Arial"/>
          <w:b/>
          <w:i/>
          <w:sz w:val="22"/>
          <w:szCs w:val="22"/>
          <w:lang w:val="fr-CA"/>
        </w:rPr>
        <w:t xml:space="preserve">Quand remplir la grille </w:t>
      </w:r>
      <w:r w:rsidR="004A492E" w:rsidRPr="005340E1">
        <w:rPr>
          <w:rFonts w:ascii="Arial" w:hAnsi="Arial" w:cs="Arial"/>
          <w:b/>
          <w:i/>
          <w:sz w:val="22"/>
          <w:szCs w:val="22"/>
          <w:lang w:val="fr-CA"/>
        </w:rPr>
        <w:t>ATR</w:t>
      </w:r>
      <w:r w:rsidR="004A492E" w:rsidRPr="005340E1">
        <w:rPr>
          <w:rFonts w:ascii="Arial" w:hAnsi="Arial" w:cs="Arial"/>
          <w:b/>
          <w:i/>
          <w:sz w:val="22"/>
          <w:szCs w:val="22"/>
          <w:vertAlign w:val="superscript"/>
          <w:lang w:val="fr-CA"/>
        </w:rPr>
        <w:t>©</w:t>
      </w:r>
    </w:p>
    <w:p w14:paraId="388CC346" w14:textId="0D6684D8" w:rsidR="00A10933" w:rsidRPr="005340E1" w:rsidRDefault="00413A62" w:rsidP="00A10933">
      <w:pPr>
        <w:spacing w:after="120"/>
        <w:ind w:firstLine="360"/>
        <w:rPr>
          <w:rFonts w:ascii="Arial" w:hAnsi="Arial" w:cs="Arial"/>
          <w:sz w:val="22"/>
          <w:szCs w:val="22"/>
          <w:lang w:val="fr-CA"/>
        </w:rPr>
      </w:pPr>
      <w:r w:rsidRPr="005340E1">
        <w:rPr>
          <w:rFonts w:ascii="Arial" w:hAnsi="Arial" w:cs="Arial"/>
          <w:sz w:val="22"/>
          <w:szCs w:val="22"/>
          <w:lang w:val="fr-CA"/>
        </w:rPr>
        <w:t xml:space="preserve">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 xml:space="preserve">© </w:t>
      </w:r>
      <w:r w:rsidRPr="005340E1">
        <w:rPr>
          <w:rFonts w:ascii="Arial" w:hAnsi="Arial" w:cs="Arial"/>
          <w:sz w:val="22"/>
          <w:szCs w:val="22"/>
          <w:lang w:val="fr-CA"/>
        </w:rPr>
        <w:t>est un outil qui a été conçu pour aider à identifier les clients qui pourraient être prêts à faire la transition des SCTI vers des services moins intensifs</w:t>
      </w:r>
      <w:r w:rsidR="0063355B" w:rsidRPr="005340E1">
        <w:rPr>
          <w:rFonts w:ascii="Arial" w:hAnsi="Arial" w:cs="Arial"/>
          <w:sz w:val="22"/>
          <w:szCs w:val="22"/>
          <w:lang w:val="fr-CA"/>
        </w:rPr>
        <w:t xml:space="preserve">. </w:t>
      </w:r>
      <w:r w:rsidR="00927336" w:rsidRPr="005340E1">
        <w:rPr>
          <w:rFonts w:ascii="Arial" w:hAnsi="Arial" w:cs="Arial"/>
          <w:sz w:val="22"/>
          <w:szCs w:val="22"/>
          <w:lang w:val="fr-CA"/>
        </w:rPr>
        <w:t xml:space="preserve">Cela signifie que </w:t>
      </w:r>
      <w:r w:rsidR="0063355B" w:rsidRPr="005340E1">
        <w:rPr>
          <w:rFonts w:ascii="Arial" w:hAnsi="Arial" w:cs="Arial"/>
          <w:sz w:val="22"/>
          <w:szCs w:val="22"/>
          <w:lang w:val="fr-CA"/>
        </w:rPr>
        <w:t xml:space="preserve">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 xml:space="preserve">© </w:t>
      </w:r>
      <w:r w:rsidR="0063355B" w:rsidRPr="005340E1">
        <w:rPr>
          <w:rFonts w:ascii="Arial" w:hAnsi="Arial" w:cs="Arial"/>
          <w:sz w:val="22"/>
          <w:szCs w:val="22"/>
          <w:lang w:val="fr-CA"/>
        </w:rPr>
        <w:t xml:space="preserve">peut être utilisée </w:t>
      </w:r>
      <w:r w:rsidR="00927336" w:rsidRPr="005340E1">
        <w:rPr>
          <w:rFonts w:ascii="Arial" w:hAnsi="Arial" w:cs="Arial"/>
          <w:sz w:val="22"/>
          <w:szCs w:val="22"/>
          <w:lang w:val="fr-CA"/>
        </w:rPr>
        <w:t xml:space="preserve">pour évaluer un client </w:t>
      </w:r>
      <w:r w:rsidR="0063355B" w:rsidRPr="005340E1">
        <w:rPr>
          <w:rFonts w:ascii="Arial" w:hAnsi="Arial" w:cs="Arial"/>
          <w:sz w:val="22"/>
          <w:szCs w:val="22"/>
          <w:lang w:val="fr-CA"/>
        </w:rPr>
        <w:t>qui reçoit des SCTI depuis quelques temps</w:t>
      </w:r>
      <w:r w:rsidR="006C0253" w:rsidRPr="005340E1">
        <w:rPr>
          <w:rFonts w:ascii="Arial" w:hAnsi="Arial" w:cs="Arial"/>
          <w:sz w:val="22"/>
          <w:szCs w:val="22"/>
          <w:lang w:val="fr-CA"/>
        </w:rPr>
        <w:t xml:space="preserve">, </w:t>
      </w:r>
      <w:r w:rsidR="0063355B" w:rsidRPr="005340E1">
        <w:rPr>
          <w:rFonts w:ascii="Arial" w:hAnsi="Arial" w:cs="Arial"/>
          <w:sz w:val="22"/>
          <w:szCs w:val="22"/>
          <w:lang w:val="fr-CA"/>
        </w:rPr>
        <w:t>dont l’état est stable et qui</w:t>
      </w:r>
      <w:r w:rsidR="00E315B1" w:rsidRPr="005340E1">
        <w:rPr>
          <w:rFonts w:ascii="Arial" w:hAnsi="Arial" w:cs="Arial"/>
          <w:sz w:val="22"/>
          <w:szCs w:val="22"/>
          <w:lang w:val="fr-CA"/>
        </w:rPr>
        <w:t xml:space="preserve"> pourrait bien gérer la transition vers des services moins intensifs, ce </w:t>
      </w:r>
      <w:r w:rsidR="00612AE2" w:rsidRPr="005340E1">
        <w:rPr>
          <w:rFonts w:ascii="Arial" w:hAnsi="Arial" w:cs="Arial"/>
          <w:sz w:val="22"/>
          <w:szCs w:val="22"/>
          <w:lang w:val="fr-CA"/>
        </w:rPr>
        <w:t xml:space="preserve">qui était le but initial. Mais </w:t>
      </w:r>
      <w:r w:rsidR="00833A81" w:rsidRPr="005340E1">
        <w:rPr>
          <w:rFonts w:ascii="Arial" w:hAnsi="Arial" w:cs="Arial"/>
          <w:sz w:val="22"/>
          <w:szCs w:val="22"/>
          <w:lang w:val="fr-CA"/>
        </w:rPr>
        <w:t>la grille ATR</w:t>
      </w:r>
      <w:r w:rsidR="00833A81" w:rsidRPr="005340E1">
        <w:rPr>
          <w:rFonts w:ascii="Arial" w:hAnsi="Arial" w:cs="Arial"/>
          <w:sz w:val="22"/>
          <w:szCs w:val="22"/>
          <w:vertAlign w:val="superscript"/>
          <w:lang w:val="fr-CA"/>
        </w:rPr>
        <w:t>©</w:t>
      </w:r>
      <w:r w:rsidR="00E315B1" w:rsidRPr="005340E1">
        <w:rPr>
          <w:rFonts w:ascii="Arial" w:hAnsi="Arial" w:cs="Arial"/>
          <w:sz w:val="22"/>
          <w:szCs w:val="22"/>
          <w:lang w:val="fr-CA"/>
        </w:rPr>
        <w:t xml:space="preserve"> </w:t>
      </w:r>
      <w:r w:rsidR="00833A81" w:rsidRPr="005340E1">
        <w:rPr>
          <w:rFonts w:ascii="Arial" w:hAnsi="Arial" w:cs="Arial"/>
          <w:sz w:val="22"/>
          <w:szCs w:val="22"/>
          <w:lang w:val="fr-CA"/>
        </w:rPr>
        <w:t xml:space="preserve">pourrait </w:t>
      </w:r>
      <w:r w:rsidR="00612AE2" w:rsidRPr="005340E1">
        <w:rPr>
          <w:rFonts w:ascii="Arial" w:hAnsi="Arial" w:cs="Arial"/>
          <w:sz w:val="22"/>
          <w:szCs w:val="22"/>
          <w:lang w:val="fr-CA"/>
        </w:rPr>
        <w:t xml:space="preserve">aussi </w:t>
      </w:r>
      <w:r w:rsidR="00833A81" w:rsidRPr="005340E1">
        <w:rPr>
          <w:rFonts w:ascii="Arial" w:hAnsi="Arial" w:cs="Arial"/>
          <w:sz w:val="22"/>
          <w:szCs w:val="22"/>
          <w:lang w:val="fr-CA"/>
        </w:rPr>
        <w:t xml:space="preserve">avoir d’autres </w:t>
      </w:r>
      <w:r w:rsidR="00612AE2" w:rsidRPr="005340E1">
        <w:rPr>
          <w:rFonts w:ascii="Arial" w:hAnsi="Arial" w:cs="Arial"/>
          <w:sz w:val="22"/>
          <w:szCs w:val="22"/>
          <w:lang w:val="fr-CA"/>
        </w:rPr>
        <w:t>usages.</w:t>
      </w:r>
      <w:r w:rsidR="00E315B1" w:rsidRPr="005340E1">
        <w:rPr>
          <w:rFonts w:ascii="Arial" w:hAnsi="Arial" w:cs="Arial"/>
          <w:sz w:val="22"/>
          <w:szCs w:val="22"/>
          <w:lang w:val="fr-CA"/>
        </w:rPr>
        <w:t xml:space="preserve"> Par exemple, on peut s</w:t>
      </w:r>
      <w:r w:rsidR="00833A81" w:rsidRPr="005340E1">
        <w:rPr>
          <w:rFonts w:ascii="Arial" w:hAnsi="Arial" w:cs="Arial"/>
          <w:sz w:val="22"/>
          <w:szCs w:val="22"/>
          <w:lang w:val="fr-CA"/>
        </w:rPr>
        <w:t xml:space="preserve">’en servir </w:t>
      </w:r>
      <w:r w:rsidR="00A10933" w:rsidRPr="005340E1">
        <w:rPr>
          <w:rFonts w:ascii="Arial" w:hAnsi="Arial" w:cs="Arial"/>
          <w:sz w:val="22"/>
          <w:szCs w:val="22"/>
          <w:lang w:val="fr-CA"/>
        </w:rPr>
        <w:t>c</w:t>
      </w:r>
      <w:r w:rsidR="00E315B1" w:rsidRPr="005340E1">
        <w:rPr>
          <w:rFonts w:ascii="Arial" w:hAnsi="Arial" w:cs="Arial"/>
          <w:sz w:val="22"/>
          <w:szCs w:val="22"/>
          <w:lang w:val="fr-CA"/>
        </w:rPr>
        <w:t>omme outil clinique pour évaluer et surveiller les progrès du client</w:t>
      </w:r>
      <w:r w:rsidR="00A10933" w:rsidRPr="005340E1">
        <w:rPr>
          <w:rFonts w:ascii="Arial" w:hAnsi="Arial" w:cs="Arial"/>
          <w:sz w:val="22"/>
          <w:szCs w:val="22"/>
          <w:lang w:val="fr-CA"/>
        </w:rPr>
        <w:t xml:space="preserve">. </w:t>
      </w:r>
      <w:r w:rsidR="00E315B1" w:rsidRPr="005340E1">
        <w:rPr>
          <w:rFonts w:ascii="Arial" w:hAnsi="Arial" w:cs="Arial"/>
          <w:sz w:val="22"/>
          <w:szCs w:val="22"/>
          <w:lang w:val="fr-CA"/>
        </w:rPr>
        <w:t xml:space="preserve">Ainsi,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 xml:space="preserve">© </w:t>
      </w:r>
      <w:r w:rsidR="00E315B1" w:rsidRPr="005340E1">
        <w:rPr>
          <w:rFonts w:ascii="Arial" w:hAnsi="Arial" w:cs="Arial"/>
          <w:sz w:val="22"/>
          <w:szCs w:val="22"/>
          <w:lang w:val="fr-CA"/>
        </w:rPr>
        <w:t xml:space="preserve">pourrait être utilisée pendant le processus d’inscription aux SCTI, puis administrée de nouveau périodiquement </w:t>
      </w:r>
      <w:r w:rsidR="00A10933" w:rsidRPr="005340E1">
        <w:rPr>
          <w:rFonts w:ascii="Arial" w:hAnsi="Arial" w:cs="Arial"/>
          <w:sz w:val="22"/>
          <w:szCs w:val="22"/>
          <w:lang w:val="fr-CA"/>
        </w:rPr>
        <w:t>(</w:t>
      </w:r>
      <w:r w:rsidR="00E315B1" w:rsidRPr="005340E1">
        <w:rPr>
          <w:rFonts w:ascii="Arial" w:hAnsi="Arial" w:cs="Arial"/>
          <w:sz w:val="22"/>
          <w:szCs w:val="22"/>
          <w:lang w:val="fr-CA"/>
        </w:rPr>
        <w:t>p. ex. : tous les six mois).</w:t>
      </w:r>
    </w:p>
    <w:p w14:paraId="0B2C2D39" w14:textId="77777777" w:rsidR="00A10933" w:rsidRPr="005340E1" w:rsidRDefault="00C52B80" w:rsidP="00A10933">
      <w:pPr>
        <w:spacing w:after="120"/>
        <w:rPr>
          <w:rFonts w:ascii="Arial" w:hAnsi="Arial" w:cs="Arial"/>
          <w:sz w:val="22"/>
          <w:szCs w:val="22"/>
          <w:highlight w:val="yellow"/>
          <w:lang w:val="fr-CA"/>
        </w:rPr>
      </w:pPr>
      <w:r>
        <w:rPr>
          <w:rFonts w:ascii="Arial" w:hAnsi="Arial" w:cs="Arial"/>
          <w:sz w:val="22"/>
          <w:szCs w:val="22"/>
          <w:highlight w:val="yellow"/>
          <w:lang w:val="fr-CA"/>
        </w:rPr>
        <w:pict w14:anchorId="7D52DF02">
          <v:shape id="_x0000_s2828" type="#_x0000_t32" style="position:absolute;margin-left:-3pt;margin-top:6.95pt;width:474pt;height:0;z-index:251678720" o:connectortype="straight" strokeweight="2pt"/>
        </w:pict>
      </w:r>
    </w:p>
    <w:p w14:paraId="38CFA08D" w14:textId="150871E7" w:rsidR="00A10933" w:rsidRPr="005340E1" w:rsidRDefault="00175603" w:rsidP="00A10933">
      <w:pPr>
        <w:spacing w:after="120"/>
        <w:rPr>
          <w:rFonts w:ascii="Arial" w:hAnsi="Arial" w:cs="Arial"/>
          <w:b/>
          <w:i/>
          <w:sz w:val="22"/>
          <w:szCs w:val="22"/>
          <w:lang w:val="fr-CA"/>
        </w:rPr>
      </w:pPr>
      <w:r w:rsidRPr="005340E1">
        <w:rPr>
          <w:rFonts w:ascii="Arial" w:hAnsi="Arial" w:cs="Arial"/>
          <w:b/>
          <w:i/>
          <w:sz w:val="22"/>
          <w:szCs w:val="22"/>
          <w:lang w:val="fr-CA"/>
        </w:rPr>
        <w:t xml:space="preserve">Comment remplir la grille </w:t>
      </w:r>
      <w:r w:rsidR="004A492E" w:rsidRPr="005340E1">
        <w:rPr>
          <w:rFonts w:ascii="Arial" w:hAnsi="Arial" w:cs="Arial"/>
          <w:b/>
          <w:i/>
          <w:sz w:val="22"/>
          <w:szCs w:val="22"/>
          <w:lang w:val="fr-CA"/>
        </w:rPr>
        <w:t>ATR</w:t>
      </w:r>
      <w:r w:rsidR="004A492E" w:rsidRPr="005340E1">
        <w:rPr>
          <w:rFonts w:ascii="Arial" w:hAnsi="Arial" w:cs="Arial"/>
          <w:b/>
          <w:i/>
          <w:sz w:val="22"/>
          <w:szCs w:val="22"/>
          <w:vertAlign w:val="superscript"/>
          <w:lang w:val="fr-CA"/>
        </w:rPr>
        <w:t>©</w:t>
      </w:r>
    </w:p>
    <w:p w14:paraId="104F0795" w14:textId="430DFC4F" w:rsidR="00A10933" w:rsidRPr="005340E1" w:rsidRDefault="00752962" w:rsidP="00A10933">
      <w:pPr>
        <w:spacing w:after="120"/>
        <w:ind w:firstLine="360"/>
        <w:rPr>
          <w:rFonts w:ascii="Arial" w:hAnsi="Arial" w:cs="Arial"/>
          <w:sz w:val="22"/>
          <w:szCs w:val="22"/>
          <w:lang w:val="fr-CA"/>
        </w:rPr>
      </w:pPr>
      <w:r w:rsidRPr="005340E1">
        <w:rPr>
          <w:rFonts w:ascii="Arial" w:hAnsi="Arial" w:cs="Arial"/>
          <w:sz w:val="22"/>
          <w:szCs w:val="22"/>
          <w:lang w:val="fr-CA"/>
        </w:rPr>
        <w:t xml:space="preserve">Il n’existe actuellement qu’une </w:t>
      </w:r>
      <w:r w:rsidR="003A2D0C">
        <w:rPr>
          <w:rFonts w:ascii="Arial" w:hAnsi="Arial" w:cs="Arial"/>
          <w:sz w:val="22"/>
          <w:szCs w:val="22"/>
          <w:lang w:val="fr-CA"/>
        </w:rPr>
        <w:t xml:space="preserve">seule </w:t>
      </w:r>
      <w:r w:rsidRPr="005340E1">
        <w:rPr>
          <w:rFonts w:ascii="Arial" w:hAnsi="Arial" w:cs="Arial"/>
          <w:sz w:val="22"/>
          <w:szCs w:val="22"/>
          <w:lang w:val="fr-CA"/>
        </w:rPr>
        <w:t>version de la grille</w:t>
      </w:r>
      <w:r w:rsidR="00467758" w:rsidRPr="005340E1">
        <w:rPr>
          <w:rFonts w:ascii="Arial" w:hAnsi="Arial" w:cs="Arial"/>
          <w:sz w:val="22"/>
          <w:szCs w:val="22"/>
          <w:lang w:val="fr-CA"/>
        </w:rPr>
        <w:t xml:space="preserve"> ATR</w:t>
      </w:r>
      <w:r w:rsidR="00467758" w:rsidRPr="005340E1">
        <w:rPr>
          <w:rFonts w:ascii="Arial" w:hAnsi="Arial" w:cs="Arial"/>
          <w:sz w:val="22"/>
          <w:szCs w:val="22"/>
          <w:vertAlign w:val="superscript"/>
          <w:lang w:val="fr-CA"/>
        </w:rPr>
        <w:t>©</w:t>
      </w:r>
      <w:r w:rsidR="003A2D0C">
        <w:rPr>
          <w:rFonts w:ascii="Arial" w:hAnsi="Arial" w:cs="Arial"/>
          <w:sz w:val="22"/>
          <w:szCs w:val="22"/>
          <w:lang w:val="fr-CA"/>
        </w:rPr>
        <w:t xml:space="preserve">, </w:t>
      </w:r>
      <w:r w:rsidR="00467758" w:rsidRPr="005340E1">
        <w:rPr>
          <w:rFonts w:ascii="Arial" w:hAnsi="Arial" w:cs="Arial"/>
          <w:sz w:val="22"/>
          <w:szCs w:val="22"/>
          <w:lang w:val="fr-CA"/>
        </w:rPr>
        <w:t>qui est destinée au personnel</w:t>
      </w:r>
      <w:r w:rsidR="00A10933" w:rsidRPr="005340E1">
        <w:rPr>
          <w:rFonts w:ascii="Arial" w:hAnsi="Arial" w:cs="Arial"/>
          <w:sz w:val="22"/>
          <w:szCs w:val="22"/>
          <w:lang w:val="fr-CA"/>
        </w:rPr>
        <w:t xml:space="preserve">. </w:t>
      </w:r>
      <w:r w:rsidR="00E83403" w:rsidRPr="005340E1">
        <w:rPr>
          <w:rFonts w:ascii="Arial" w:hAnsi="Arial" w:cs="Arial"/>
          <w:sz w:val="22"/>
          <w:szCs w:val="22"/>
          <w:lang w:val="fr-CA"/>
        </w:rPr>
        <w:t xml:space="preserve">C’est-à-dire que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E83403" w:rsidRPr="005340E1">
        <w:rPr>
          <w:rFonts w:ascii="Arial" w:hAnsi="Arial" w:cs="Arial"/>
          <w:sz w:val="22"/>
          <w:szCs w:val="22"/>
          <w:lang w:val="fr-CA"/>
        </w:rPr>
        <w:t xml:space="preserve"> doit être remplie par un </w:t>
      </w:r>
      <w:r w:rsidR="00467758" w:rsidRPr="005340E1">
        <w:rPr>
          <w:rFonts w:ascii="Arial" w:hAnsi="Arial" w:cs="Arial"/>
          <w:sz w:val="22"/>
          <w:szCs w:val="22"/>
          <w:lang w:val="fr-CA"/>
        </w:rPr>
        <w:t>membre du personnel des SCTI pour un client des SCTI</w:t>
      </w:r>
      <w:r w:rsidR="00A10933" w:rsidRPr="005340E1">
        <w:rPr>
          <w:rFonts w:ascii="Arial" w:hAnsi="Arial" w:cs="Arial"/>
          <w:sz w:val="22"/>
          <w:szCs w:val="22"/>
          <w:lang w:val="fr-CA"/>
        </w:rPr>
        <w:t xml:space="preserve">. </w:t>
      </w:r>
      <w:r w:rsidR="00E83403" w:rsidRPr="005340E1">
        <w:rPr>
          <w:rFonts w:ascii="Arial" w:hAnsi="Arial" w:cs="Arial"/>
          <w:sz w:val="22"/>
          <w:szCs w:val="22"/>
          <w:lang w:val="fr-CA"/>
        </w:rPr>
        <w:t>La grille ATR</w:t>
      </w:r>
      <w:r w:rsidR="00E83403" w:rsidRPr="005340E1">
        <w:rPr>
          <w:rFonts w:ascii="Arial" w:hAnsi="Arial" w:cs="Arial"/>
          <w:sz w:val="22"/>
          <w:szCs w:val="22"/>
          <w:vertAlign w:val="superscript"/>
          <w:lang w:val="fr-CA"/>
        </w:rPr>
        <w:t>©</w:t>
      </w:r>
      <w:r w:rsidR="00E83403" w:rsidRPr="005340E1">
        <w:rPr>
          <w:rFonts w:ascii="Arial" w:hAnsi="Arial" w:cs="Arial"/>
          <w:sz w:val="22"/>
          <w:szCs w:val="22"/>
          <w:lang w:val="fr-CA"/>
        </w:rPr>
        <w:t xml:space="preserve"> comprend 18 énoncés</w:t>
      </w:r>
      <w:r w:rsidR="00A10933" w:rsidRPr="005340E1">
        <w:rPr>
          <w:rFonts w:ascii="Arial" w:hAnsi="Arial" w:cs="Arial"/>
          <w:sz w:val="22"/>
          <w:szCs w:val="22"/>
          <w:lang w:val="fr-CA"/>
        </w:rPr>
        <w:t xml:space="preserve">. </w:t>
      </w:r>
      <w:r w:rsidR="00E83403" w:rsidRPr="005340E1">
        <w:rPr>
          <w:rFonts w:ascii="Arial" w:hAnsi="Arial" w:cs="Arial"/>
          <w:sz w:val="22"/>
          <w:szCs w:val="22"/>
          <w:lang w:val="fr-CA"/>
        </w:rPr>
        <w:t>Il faut lire attentivement chaque énoncé avant d</w:t>
      </w:r>
      <w:r w:rsidR="003A2D0C">
        <w:rPr>
          <w:rFonts w:ascii="Arial" w:hAnsi="Arial" w:cs="Arial"/>
          <w:sz w:val="22"/>
          <w:szCs w:val="22"/>
          <w:lang w:val="fr-CA"/>
        </w:rPr>
        <w:t>’y</w:t>
      </w:r>
      <w:r w:rsidR="00E83403" w:rsidRPr="005340E1">
        <w:rPr>
          <w:rFonts w:ascii="Arial" w:hAnsi="Arial" w:cs="Arial"/>
          <w:sz w:val="22"/>
          <w:szCs w:val="22"/>
          <w:lang w:val="fr-CA"/>
        </w:rPr>
        <w:t xml:space="preserve"> répondre</w:t>
      </w:r>
      <w:r w:rsidR="00175603" w:rsidRPr="005340E1">
        <w:rPr>
          <w:rFonts w:ascii="Arial" w:hAnsi="Arial" w:cs="Arial"/>
          <w:sz w:val="22"/>
          <w:szCs w:val="22"/>
          <w:lang w:val="fr-CA"/>
        </w:rPr>
        <w:t>. La grille</w:t>
      </w:r>
      <w:r w:rsidR="00A10933" w:rsidRPr="005340E1">
        <w:rPr>
          <w:rFonts w:ascii="Arial" w:hAnsi="Arial" w:cs="Arial"/>
          <w:sz w:val="22"/>
          <w:szCs w:val="22"/>
          <w:lang w:val="fr-CA"/>
        </w:rPr>
        <w:t xml:space="preserv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 xml:space="preserve">© </w:t>
      </w:r>
      <w:r w:rsidR="00175603" w:rsidRPr="005340E1">
        <w:rPr>
          <w:rFonts w:ascii="Arial" w:hAnsi="Arial" w:cs="Arial"/>
          <w:sz w:val="22"/>
          <w:szCs w:val="22"/>
          <w:lang w:val="fr-CA"/>
        </w:rPr>
        <w:t xml:space="preserve">peut être remplie par un membre </w:t>
      </w:r>
      <w:r w:rsidRPr="005340E1">
        <w:rPr>
          <w:rFonts w:ascii="Arial" w:hAnsi="Arial" w:cs="Arial"/>
          <w:sz w:val="22"/>
          <w:szCs w:val="22"/>
          <w:lang w:val="fr-CA"/>
        </w:rPr>
        <w:t xml:space="preserve">individuel </w:t>
      </w:r>
      <w:r w:rsidR="00CE2BC1" w:rsidRPr="005340E1">
        <w:rPr>
          <w:rFonts w:ascii="Arial" w:hAnsi="Arial" w:cs="Arial"/>
          <w:sz w:val="22"/>
          <w:szCs w:val="22"/>
          <w:lang w:val="fr-CA"/>
        </w:rPr>
        <w:t xml:space="preserve">du personnel </w:t>
      </w:r>
      <w:r w:rsidRPr="005340E1">
        <w:rPr>
          <w:rFonts w:ascii="Arial" w:hAnsi="Arial" w:cs="Arial"/>
          <w:sz w:val="22"/>
          <w:szCs w:val="22"/>
          <w:lang w:val="fr-CA"/>
        </w:rPr>
        <w:t xml:space="preserve">des SCTI ou </w:t>
      </w:r>
      <w:r w:rsidR="00175603" w:rsidRPr="005340E1">
        <w:rPr>
          <w:rFonts w:ascii="Arial" w:hAnsi="Arial" w:cs="Arial"/>
          <w:sz w:val="22"/>
          <w:szCs w:val="22"/>
          <w:lang w:val="fr-CA"/>
        </w:rPr>
        <w:t xml:space="preserve">par l’équipe </w:t>
      </w:r>
      <w:r w:rsidR="00CE2BC1" w:rsidRPr="005340E1">
        <w:rPr>
          <w:rFonts w:ascii="Arial" w:hAnsi="Arial" w:cs="Arial"/>
          <w:sz w:val="22"/>
          <w:szCs w:val="22"/>
          <w:lang w:val="fr-CA"/>
        </w:rPr>
        <w:t>au complet</w:t>
      </w:r>
      <w:r w:rsidR="00A10933" w:rsidRPr="005340E1">
        <w:rPr>
          <w:rFonts w:ascii="Arial" w:hAnsi="Arial" w:cs="Arial"/>
          <w:sz w:val="22"/>
          <w:szCs w:val="22"/>
          <w:lang w:val="fr-CA"/>
        </w:rPr>
        <w:t xml:space="preserve">. </w:t>
      </w:r>
      <w:r w:rsidR="007B7E03" w:rsidRPr="005340E1">
        <w:rPr>
          <w:rFonts w:ascii="Arial" w:hAnsi="Arial" w:cs="Arial"/>
          <w:sz w:val="22"/>
          <w:szCs w:val="22"/>
          <w:lang w:val="fr-CA"/>
        </w:rPr>
        <w:t xml:space="preserve">À l’origine,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7B7E03" w:rsidRPr="005340E1">
        <w:rPr>
          <w:rFonts w:ascii="Arial" w:hAnsi="Arial" w:cs="Arial"/>
          <w:sz w:val="22"/>
          <w:szCs w:val="22"/>
          <w:lang w:val="fr-CA"/>
        </w:rPr>
        <w:t xml:space="preserve"> </w:t>
      </w:r>
      <w:r w:rsidR="00A10933" w:rsidRPr="005340E1">
        <w:rPr>
          <w:rFonts w:ascii="Arial" w:hAnsi="Arial" w:cs="Arial"/>
          <w:sz w:val="22"/>
          <w:szCs w:val="22"/>
          <w:lang w:val="fr-CA"/>
        </w:rPr>
        <w:t>a</w:t>
      </w:r>
      <w:r w:rsidR="007B7E03" w:rsidRPr="005340E1">
        <w:rPr>
          <w:rFonts w:ascii="Arial" w:hAnsi="Arial" w:cs="Arial"/>
          <w:sz w:val="22"/>
          <w:szCs w:val="22"/>
          <w:lang w:val="fr-CA"/>
        </w:rPr>
        <w:t xml:space="preserve"> été conçue pour être remplie sans que le client soit présent; mais vous ou votre organisme </w:t>
      </w:r>
      <w:r w:rsidR="00467758" w:rsidRPr="005340E1">
        <w:rPr>
          <w:rFonts w:ascii="Arial" w:hAnsi="Arial" w:cs="Arial"/>
          <w:sz w:val="22"/>
          <w:szCs w:val="22"/>
          <w:lang w:val="fr-CA"/>
        </w:rPr>
        <w:t>pourriez décider de procéder autrement</w:t>
      </w:r>
      <w:r w:rsidR="00A10933" w:rsidRPr="005340E1">
        <w:rPr>
          <w:rFonts w:ascii="Arial" w:hAnsi="Arial" w:cs="Arial"/>
          <w:sz w:val="22"/>
          <w:szCs w:val="22"/>
          <w:lang w:val="fr-CA"/>
        </w:rPr>
        <w:t xml:space="preserve">. </w:t>
      </w:r>
      <w:r w:rsidR="00175603" w:rsidRPr="005340E1">
        <w:rPr>
          <w:rFonts w:ascii="Arial" w:hAnsi="Arial" w:cs="Arial"/>
          <w:sz w:val="22"/>
          <w:szCs w:val="22"/>
          <w:lang w:val="fr-CA"/>
        </w:rPr>
        <w:t xml:space="preserve">Il n’existe actuellement qu’une version </w:t>
      </w:r>
      <w:r w:rsidR="00560DB8" w:rsidRPr="005340E1">
        <w:rPr>
          <w:rFonts w:ascii="Arial" w:hAnsi="Arial" w:cs="Arial"/>
          <w:sz w:val="22"/>
          <w:szCs w:val="22"/>
          <w:lang w:val="fr-CA"/>
        </w:rPr>
        <w:t xml:space="preserve">papier-crayon de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A10933" w:rsidRPr="005340E1">
        <w:rPr>
          <w:rFonts w:ascii="Arial" w:hAnsi="Arial" w:cs="Arial"/>
          <w:sz w:val="22"/>
          <w:szCs w:val="22"/>
          <w:lang w:val="fr-CA"/>
        </w:rPr>
        <w:t xml:space="preserve"> (</w:t>
      </w:r>
      <w:r w:rsidR="00175603" w:rsidRPr="005340E1">
        <w:rPr>
          <w:rFonts w:ascii="Arial" w:hAnsi="Arial" w:cs="Arial"/>
          <w:sz w:val="22"/>
          <w:szCs w:val="22"/>
          <w:lang w:val="fr-CA"/>
        </w:rPr>
        <w:t>voir ci-dessous).</w:t>
      </w:r>
    </w:p>
    <w:p w14:paraId="42E2A81C" w14:textId="77777777" w:rsidR="00A10933" w:rsidRPr="005340E1" w:rsidRDefault="00C52B80" w:rsidP="00A10933">
      <w:pPr>
        <w:spacing w:after="120"/>
        <w:ind w:firstLine="360"/>
        <w:rPr>
          <w:rFonts w:ascii="Arial" w:hAnsi="Arial" w:cs="Arial"/>
          <w:sz w:val="22"/>
          <w:szCs w:val="22"/>
          <w:lang w:val="fr-CA"/>
        </w:rPr>
      </w:pPr>
      <w:r>
        <w:rPr>
          <w:rFonts w:ascii="Arial" w:hAnsi="Arial" w:cs="Arial"/>
          <w:sz w:val="22"/>
          <w:szCs w:val="22"/>
          <w:lang w:val="fr-CA"/>
        </w:rPr>
        <w:pict w14:anchorId="6F4256D2">
          <v:shape id="_x0000_s2829" type="#_x0000_t32" style="position:absolute;left:0;text-align:left;margin-left:-3pt;margin-top:5.85pt;width:474pt;height:0;z-index:251679744" o:connectortype="straight" strokeweight="2pt"/>
        </w:pict>
      </w:r>
    </w:p>
    <w:p w14:paraId="0C5810DE" w14:textId="12BE7392" w:rsidR="00A10933" w:rsidRPr="005340E1" w:rsidRDefault="00A10933" w:rsidP="00A10933">
      <w:pPr>
        <w:spacing w:after="120"/>
        <w:rPr>
          <w:rFonts w:ascii="Arial" w:hAnsi="Arial" w:cs="Arial"/>
          <w:b/>
          <w:i/>
          <w:sz w:val="22"/>
          <w:szCs w:val="22"/>
          <w:lang w:val="fr-CA"/>
        </w:rPr>
      </w:pPr>
      <w:r w:rsidRPr="005340E1">
        <w:rPr>
          <w:rFonts w:ascii="Arial" w:hAnsi="Arial" w:cs="Arial"/>
          <w:b/>
          <w:i/>
          <w:sz w:val="22"/>
          <w:szCs w:val="22"/>
          <w:lang w:val="fr-CA"/>
        </w:rPr>
        <w:t>U</w:t>
      </w:r>
      <w:r w:rsidR="00175603" w:rsidRPr="005340E1">
        <w:rPr>
          <w:rFonts w:ascii="Arial" w:hAnsi="Arial" w:cs="Arial"/>
          <w:b/>
          <w:i/>
          <w:sz w:val="22"/>
          <w:szCs w:val="22"/>
          <w:lang w:val="fr-CA"/>
        </w:rPr>
        <w:t xml:space="preserve">tilisation de la grille </w:t>
      </w:r>
      <w:r w:rsidR="004A492E" w:rsidRPr="005340E1">
        <w:rPr>
          <w:rFonts w:ascii="Arial" w:hAnsi="Arial" w:cs="Arial"/>
          <w:b/>
          <w:i/>
          <w:sz w:val="22"/>
          <w:szCs w:val="22"/>
          <w:lang w:val="fr-CA"/>
        </w:rPr>
        <w:t>ATR</w:t>
      </w:r>
      <w:r w:rsidR="004A492E" w:rsidRPr="005340E1">
        <w:rPr>
          <w:rFonts w:ascii="Arial" w:hAnsi="Arial" w:cs="Arial"/>
          <w:b/>
          <w:i/>
          <w:sz w:val="22"/>
          <w:szCs w:val="22"/>
          <w:vertAlign w:val="superscript"/>
          <w:lang w:val="fr-CA"/>
        </w:rPr>
        <w:t>©</w:t>
      </w:r>
    </w:p>
    <w:p w14:paraId="298BCE32" w14:textId="51C5B626" w:rsidR="00A10933" w:rsidRPr="005340E1" w:rsidRDefault="00175603" w:rsidP="00A10933">
      <w:pPr>
        <w:spacing w:after="120"/>
        <w:ind w:firstLine="360"/>
        <w:rPr>
          <w:rFonts w:ascii="Arial" w:hAnsi="Arial" w:cs="Arial"/>
          <w:sz w:val="22"/>
          <w:szCs w:val="22"/>
          <w:lang w:val="fr-CA"/>
        </w:rPr>
      </w:pPr>
      <w:r w:rsidRPr="005340E1">
        <w:rPr>
          <w:rFonts w:ascii="Arial" w:hAnsi="Arial" w:cs="Arial"/>
          <w:sz w:val="22"/>
          <w:szCs w:val="22"/>
          <w:lang w:val="fr-CA"/>
        </w:rPr>
        <w:t xml:space="preserve">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Pr="005340E1">
        <w:rPr>
          <w:rFonts w:ascii="Arial" w:hAnsi="Arial" w:cs="Arial"/>
          <w:sz w:val="22"/>
          <w:szCs w:val="22"/>
          <w:lang w:val="fr-CA"/>
        </w:rPr>
        <w:t xml:space="preserve"> est un </w:t>
      </w:r>
      <w:r w:rsidR="00BC7732" w:rsidRPr="005340E1">
        <w:rPr>
          <w:rFonts w:ascii="Arial" w:hAnsi="Arial" w:cs="Arial"/>
          <w:sz w:val="22"/>
          <w:szCs w:val="22"/>
          <w:lang w:val="fr-CA"/>
        </w:rPr>
        <w:t>ouvrage en cours</w:t>
      </w:r>
      <w:r w:rsidR="00A10933" w:rsidRPr="005340E1">
        <w:rPr>
          <w:rFonts w:ascii="Arial" w:hAnsi="Arial" w:cs="Arial"/>
          <w:sz w:val="22"/>
          <w:szCs w:val="22"/>
          <w:lang w:val="fr-CA"/>
        </w:rPr>
        <w:t xml:space="preserve">. </w:t>
      </w:r>
      <w:r w:rsidRPr="005340E1">
        <w:rPr>
          <w:rFonts w:ascii="Arial" w:hAnsi="Arial" w:cs="Arial"/>
          <w:sz w:val="22"/>
          <w:szCs w:val="22"/>
          <w:lang w:val="fr-CA"/>
        </w:rPr>
        <w:t xml:space="preserve">Jusqu’ici, </w:t>
      </w:r>
      <w:r w:rsidR="00BC7732" w:rsidRPr="005340E1">
        <w:rPr>
          <w:rFonts w:ascii="Arial" w:hAnsi="Arial" w:cs="Arial"/>
          <w:sz w:val="22"/>
          <w:szCs w:val="22"/>
          <w:lang w:val="fr-CA"/>
        </w:rPr>
        <w:t>elle</w:t>
      </w:r>
      <w:r w:rsidR="004A492E" w:rsidRPr="005340E1">
        <w:rPr>
          <w:rFonts w:ascii="Arial" w:hAnsi="Arial" w:cs="Arial"/>
          <w:sz w:val="22"/>
          <w:szCs w:val="22"/>
          <w:vertAlign w:val="superscript"/>
          <w:lang w:val="fr-CA"/>
        </w:rPr>
        <w:t xml:space="preserve"> </w:t>
      </w:r>
      <w:r w:rsidR="00BC7732" w:rsidRPr="005340E1">
        <w:rPr>
          <w:rFonts w:ascii="Arial" w:hAnsi="Arial" w:cs="Arial"/>
          <w:sz w:val="22"/>
          <w:szCs w:val="22"/>
          <w:lang w:val="fr-CA"/>
        </w:rPr>
        <w:t xml:space="preserve">semble </w:t>
      </w:r>
      <w:r w:rsidR="00044818" w:rsidRPr="005340E1">
        <w:rPr>
          <w:rFonts w:ascii="Arial" w:hAnsi="Arial" w:cs="Arial"/>
          <w:sz w:val="22"/>
          <w:szCs w:val="22"/>
          <w:lang w:val="fr-CA"/>
        </w:rPr>
        <w:t xml:space="preserve">indiquer une excellente fiabilité ainsi qu’une bonne </w:t>
      </w:r>
      <w:r w:rsidR="00CE2BC1" w:rsidRPr="005340E1">
        <w:rPr>
          <w:rFonts w:ascii="Arial" w:hAnsi="Arial" w:cs="Arial"/>
          <w:sz w:val="22"/>
          <w:szCs w:val="22"/>
          <w:lang w:val="fr-CA"/>
        </w:rPr>
        <w:t>validité convergente et prédictive</w:t>
      </w:r>
      <w:r w:rsidR="00A10933" w:rsidRPr="005340E1">
        <w:rPr>
          <w:rFonts w:ascii="Arial" w:hAnsi="Arial" w:cs="Arial"/>
          <w:sz w:val="22"/>
          <w:szCs w:val="22"/>
          <w:lang w:val="fr-CA"/>
        </w:rPr>
        <w:t xml:space="preserve">. </w:t>
      </w:r>
      <w:r w:rsidR="00541777" w:rsidRPr="005340E1">
        <w:rPr>
          <w:rFonts w:ascii="Arial" w:hAnsi="Arial" w:cs="Arial"/>
          <w:sz w:val="22"/>
          <w:szCs w:val="22"/>
          <w:lang w:val="fr-CA"/>
        </w:rPr>
        <w:t xml:space="preserve">Cependant,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B00F14" w:rsidRPr="005340E1">
        <w:rPr>
          <w:rFonts w:ascii="Arial" w:hAnsi="Arial" w:cs="Arial"/>
          <w:sz w:val="22"/>
          <w:szCs w:val="22"/>
          <w:lang w:val="fr-CA"/>
        </w:rPr>
        <w:t xml:space="preserve"> </w:t>
      </w:r>
      <w:r w:rsidR="00541777" w:rsidRPr="005340E1">
        <w:rPr>
          <w:rFonts w:ascii="Arial" w:hAnsi="Arial" w:cs="Arial"/>
          <w:sz w:val="22"/>
          <w:szCs w:val="22"/>
          <w:lang w:val="fr-CA"/>
        </w:rPr>
        <w:t>a</w:t>
      </w:r>
      <w:r w:rsidR="00B00F14" w:rsidRPr="005340E1">
        <w:rPr>
          <w:rFonts w:ascii="Arial" w:hAnsi="Arial" w:cs="Arial"/>
          <w:sz w:val="22"/>
          <w:szCs w:val="22"/>
          <w:lang w:val="fr-CA"/>
        </w:rPr>
        <w:t xml:space="preserve"> uniquement fait l’objet de tests rétrospectifs</w:t>
      </w:r>
      <w:r w:rsidR="004E5244">
        <w:rPr>
          <w:rFonts w:ascii="Arial" w:hAnsi="Arial" w:cs="Arial"/>
          <w:sz w:val="22"/>
          <w:szCs w:val="22"/>
          <w:lang w:val="fr-CA"/>
        </w:rPr>
        <w:t>,</w:t>
      </w:r>
      <w:r w:rsidR="00B00F14" w:rsidRPr="005340E1">
        <w:rPr>
          <w:rFonts w:ascii="Arial" w:hAnsi="Arial" w:cs="Arial"/>
          <w:sz w:val="22"/>
          <w:szCs w:val="22"/>
          <w:lang w:val="fr-CA"/>
        </w:rPr>
        <w:t xml:space="preserve"> et il faut donc faire davantage de tests!</w:t>
      </w:r>
    </w:p>
    <w:p w14:paraId="73721AD2" w14:textId="2A8E1A20" w:rsidR="00A10933" w:rsidRPr="005340E1" w:rsidRDefault="00611F37" w:rsidP="00A10933">
      <w:pPr>
        <w:spacing w:after="120"/>
        <w:ind w:firstLine="360"/>
        <w:rPr>
          <w:rFonts w:ascii="Arial" w:hAnsi="Arial" w:cs="Arial"/>
          <w:lang w:val="fr-CA"/>
        </w:rPr>
      </w:pPr>
      <w:r w:rsidRPr="005340E1">
        <w:rPr>
          <w:rFonts w:ascii="Arial" w:hAnsi="Arial" w:cs="Arial"/>
          <w:sz w:val="22"/>
          <w:szCs w:val="22"/>
          <w:lang w:val="fr-CA"/>
        </w:rPr>
        <w:t>La grille ATR</w:t>
      </w:r>
      <w:r w:rsidRPr="005340E1">
        <w:rPr>
          <w:rFonts w:ascii="Arial" w:hAnsi="Arial" w:cs="Arial"/>
          <w:sz w:val="22"/>
          <w:szCs w:val="22"/>
          <w:vertAlign w:val="superscript"/>
          <w:lang w:val="fr-CA"/>
        </w:rPr>
        <w:t>©</w:t>
      </w:r>
      <w:r w:rsidRPr="005340E1">
        <w:rPr>
          <w:rFonts w:ascii="Arial" w:hAnsi="Arial" w:cs="Arial"/>
          <w:sz w:val="22"/>
          <w:szCs w:val="22"/>
          <w:lang w:val="fr-CA"/>
        </w:rPr>
        <w:t xml:space="preserve"> est un outil gratuit, et vous pouvez vous en servir aussi souvent que vous le désirez. Nous serions intéressés d’avoir de vos nouvelles si vous ou votre organisme décidez d’utiliser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Pr="005340E1">
        <w:rPr>
          <w:rFonts w:ascii="Arial" w:hAnsi="Arial" w:cs="Arial"/>
          <w:sz w:val="22"/>
          <w:szCs w:val="22"/>
          <w:lang w:val="fr-CA"/>
        </w:rPr>
        <w:t xml:space="preserve">. Plus particulièrement, si votre équipe ou organisme décide d’adopter la grille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D91558" w:rsidRPr="005340E1">
        <w:rPr>
          <w:rFonts w:ascii="Arial" w:hAnsi="Arial" w:cs="Arial"/>
          <w:sz w:val="22"/>
          <w:szCs w:val="22"/>
          <w:lang w:val="fr-CA"/>
        </w:rPr>
        <w:t xml:space="preserve"> dans le cadre de votre stratégie</w:t>
      </w:r>
      <w:r w:rsidR="00A10933" w:rsidRPr="005340E1">
        <w:rPr>
          <w:rFonts w:ascii="Arial" w:hAnsi="Arial" w:cs="Arial"/>
          <w:sz w:val="22"/>
          <w:szCs w:val="22"/>
          <w:lang w:val="fr-CA"/>
        </w:rPr>
        <w:t xml:space="preserve"> </w:t>
      </w:r>
      <w:r w:rsidR="00426479" w:rsidRPr="005340E1">
        <w:rPr>
          <w:rFonts w:ascii="Arial" w:hAnsi="Arial" w:cs="Arial"/>
          <w:sz w:val="22"/>
          <w:szCs w:val="22"/>
          <w:lang w:val="fr-CA"/>
        </w:rPr>
        <w:t xml:space="preserve">d’évaluation </w:t>
      </w:r>
      <w:r w:rsidR="00B00F14" w:rsidRPr="005340E1">
        <w:rPr>
          <w:rFonts w:ascii="Arial" w:hAnsi="Arial" w:cs="Arial"/>
          <w:sz w:val="22"/>
          <w:szCs w:val="22"/>
          <w:lang w:val="fr-CA"/>
        </w:rPr>
        <w:t xml:space="preserve">de </w:t>
      </w:r>
      <w:r w:rsidR="00A10933" w:rsidRPr="005340E1">
        <w:rPr>
          <w:rFonts w:ascii="Arial" w:hAnsi="Arial" w:cs="Arial"/>
          <w:sz w:val="22"/>
          <w:szCs w:val="22"/>
          <w:lang w:val="fr-CA"/>
        </w:rPr>
        <w:t>routine</w:t>
      </w:r>
      <w:r w:rsidR="007C55B8" w:rsidRPr="005340E1">
        <w:rPr>
          <w:rFonts w:ascii="Arial" w:hAnsi="Arial" w:cs="Arial"/>
          <w:sz w:val="22"/>
          <w:szCs w:val="22"/>
          <w:lang w:val="fr-CA"/>
        </w:rPr>
        <w:t>, nous aimerions vous parler de</w:t>
      </w:r>
      <w:r w:rsidR="002264CD" w:rsidRPr="005340E1">
        <w:rPr>
          <w:rFonts w:ascii="Arial" w:hAnsi="Arial" w:cs="Arial"/>
          <w:sz w:val="22"/>
          <w:szCs w:val="22"/>
          <w:lang w:val="fr-CA"/>
        </w:rPr>
        <w:t xml:space="preserve"> la façon dont vous allez recueillir vos données et de comment celles-ci pourraient servir à </w:t>
      </w:r>
      <w:r w:rsidR="00345D7F" w:rsidRPr="005340E1">
        <w:rPr>
          <w:rFonts w:ascii="Arial" w:hAnsi="Arial" w:cs="Arial"/>
          <w:sz w:val="22"/>
          <w:szCs w:val="22"/>
          <w:lang w:val="fr-CA"/>
        </w:rPr>
        <w:t>effectuer davantage de tests</w:t>
      </w:r>
      <w:r w:rsidR="00A10933" w:rsidRPr="005340E1">
        <w:rPr>
          <w:rFonts w:ascii="Arial" w:hAnsi="Arial" w:cs="Arial"/>
          <w:sz w:val="22"/>
          <w:szCs w:val="22"/>
          <w:lang w:val="fr-CA"/>
        </w:rPr>
        <w:t xml:space="preserve">. </w:t>
      </w:r>
      <w:r w:rsidR="00D91558" w:rsidRPr="005340E1">
        <w:rPr>
          <w:rFonts w:ascii="Arial" w:hAnsi="Arial" w:cs="Arial"/>
          <w:sz w:val="22"/>
          <w:szCs w:val="22"/>
          <w:lang w:val="fr-CA"/>
        </w:rPr>
        <w:t xml:space="preserve">De plus, nous </w:t>
      </w:r>
      <w:r w:rsidR="004E5244">
        <w:rPr>
          <w:rFonts w:ascii="Arial" w:hAnsi="Arial" w:cs="Arial"/>
          <w:sz w:val="22"/>
          <w:szCs w:val="22"/>
          <w:lang w:val="fr-CA"/>
        </w:rPr>
        <w:t xml:space="preserve">serions reconnaissants de </w:t>
      </w:r>
      <w:r w:rsidR="00D91558" w:rsidRPr="005340E1">
        <w:rPr>
          <w:rFonts w:ascii="Arial" w:hAnsi="Arial" w:cs="Arial"/>
          <w:sz w:val="22"/>
          <w:szCs w:val="22"/>
          <w:lang w:val="fr-CA"/>
        </w:rPr>
        <w:t>recevoir votre rétroaction sur la grille</w:t>
      </w:r>
      <w:r w:rsidR="00A10933" w:rsidRPr="005340E1">
        <w:rPr>
          <w:rFonts w:ascii="Arial" w:hAnsi="Arial" w:cs="Arial"/>
          <w:sz w:val="22"/>
          <w:szCs w:val="22"/>
          <w:lang w:val="fr-CA"/>
        </w:rPr>
        <w:t xml:space="preserve"> </w:t>
      </w:r>
      <w:r w:rsidR="004A492E"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A10933" w:rsidRPr="005340E1">
        <w:rPr>
          <w:rFonts w:ascii="Arial" w:hAnsi="Arial" w:cs="Arial"/>
          <w:sz w:val="22"/>
          <w:szCs w:val="22"/>
          <w:lang w:val="fr-CA"/>
        </w:rPr>
        <w:t xml:space="preserve">, </w:t>
      </w:r>
      <w:r w:rsidR="00426479" w:rsidRPr="005340E1">
        <w:rPr>
          <w:rFonts w:ascii="Arial" w:hAnsi="Arial" w:cs="Arial"/>
          <w:sz w:val="22"/>
          <w:szCs w:val="22"/>
          <w:lang w:val="fr-CA"/>
        </w:rPr>
        <w:t xml:space="preserve">et particulièrement ce que vous avez aimé et ce que vous n’avez pas aimé, ainsi que vos </w:t>
      </w:r>
      <w:r w:rsidR="00A10933" w:rsidRPr="005340E1">
        <w:rPr>
          <w:rFonts w:ascii="Arial" w:hAnsi="Arial" w:cs="Arial"/>
          <w:sz w:val="22"/>
          <w:szCs w:val="22"/>
          <w:lang w:val="fr-CA"/>
        </w:rPr>
        <w:t xml:space="preserve">suggestions </w:t>
      </w:r>
      <w:r w:rsidR="00426479" w:rsidRPr="005340E1">
        <w:rPr>
          <w:rFonts w:ascii="Arial" w:hAnsi="Arial" w:cs="Arial"/>
          <w:sz w:val="22"/>
          <w:szCs w:val="22"/>
          <w:lang w:val="fr-CA"/>
        </w:rPr>
        <w:t>d’améliorations</w:t>
      </w:r>
      <w:r w:rsidR="00A10933" w:rsidRPr="005340E1">
        <w:rPr>
          <w:rFonts w:ascii="Arial" w:hAnsi="Arial" w:cs="Arial"/>
          <w:sz w:val="22"/>
          <w:szCs w:val="22"/>
          <w:lang w:val="fr-CA"/>
        </w:rPr>
        <w:t xml:space="preserve">. </w:t>
      </w:r>
      <w:r w:rsidR="004E5244">
        <w:rPr>
          <w:rFonts w:ascii="Arial" w:hAnsi="Arial" w:cs="Arial"/>
          <w:sz w:val="22"/>
          <w:szCs w:val="22"/>
          <w:lang w:val="fr-CA"/>
        </w:rPr>
        <w:t>S</w:t>
      </w:r>
      <w:r w:rsidR="00426479" w:rsidRPr="005340E1">
        <w:rPr>
          <w:rFonts w:ascii="Arial" w:hAnsi="Arial" w:cs="Arial"/>
          <w:sz w:val="22"/>
          <w:szCs w:val="22"/>
          <w:lang w:val="fr-CA"/>
        </w:rPr>
        <w:t xml:space="preserve">i vous avez d’autres questions au sujet de la grille </w:t>
      </w:r>
      <w:r w:rsidR="00A10933" w:rsidRPr="005340E1">
        <w:rPr>
          <w:rFonts w:ascii="Arial" w:hAnsi="Arial" w:cs="Arial"/>
          <w:sz w:val="22"/>
          <w:szCs w:val="22"/>
          <w:lang w:val="fr-CA"/>
        </w:rPr>
        <w:t>ATR</w:t>
      </w:r>
      <w:r w:rsidR="004A492E" w:rsidRPr="005340E1">
        <w:rPr>
          <w:rFonts w:ascii="Arial" w:hAnsi="Arial" w:cs="Arial"/>
          <w:sz w:val="22"/>
          <w:szCs w:val="22"/>
          <w:vertAlign w:val="superscript"/>
          <w:lang w:val="fr-CA"/>
        </w:rPr>
        <w:t>©</w:t>
      </w:r>
      <w:r w:rsidR="00A10933" w:rsidRPr="005340E1">
        <w:rPr>
          <w:rFonts w:ascii="Arial" w:hAnsi="Arial" w:cs="Arial"/>
          <w:sz w:val="22"/>
          <w:szCs w:val="22"/>
          <w:lang w:val="fr-CA"/>
        </w:rPr>
        <w:t xml:space="preserve"> o</w:t>
      </w:r>
      <w:r w:rsidR="00426479" w:rsidRPr="005340E1">
        <w:rPr>
          <w:rFonts w:ascii="Arial" w:hAnsi="Arial" w:cs="Arial"/>
          <w:sz w:val="22"/>
          <w:szCs w:val="22"/>
          <w:lang w:val="fr-CA"/>
        </w:rPr>
        <w:t>u si vous êtes intéressé par le manuel technique, n’hésitez pas à communiquer avec nous.</w:t>
      </w:r>
    </w:p>
    <w:p w14:paraId="59B7CF58" w14:textId="437553CE" w:rsidR="008B2020" w:rsidRPr="005340E1" w:rsidRDefault="002E70B7" w:rsidP="005340E1">
      <w:pPr>
        <w:spacing w:after="120"/>
        <w:jc w:val="center"/>
        <w:rPr>
          <w:rFonts w:ascii="Arial" w:hAnsi="Arial" w:cs="Arial"/>
          <w:lang w:val="fr-CA"/>
        </w:rPr>
      </w:pPr>
      <w:r w:rsidRPr="005340E1">
        <w:rPr>
          <w:rFonts w:ascii="Arial" w:hAnsi="Arial" w:cs="Arial"/>
          <w:b/>
          <w:sz w:val="36"/>
          <w:szCs w:val="36"/>
          <w:lang w:val="fr-CA"/>
        </w:rPr>
        <w:t>MERCI</w:t>
      </w:r>
      <w:r w:rsidR="00A10933" w:rsidRPr="005340E1">
        <w:rPr>
          <w:rFonts w:ascii="Arial" w:hAnsi="Arial" w:cs="Arial"/>
          <w:b/>
          <w:sz w:val="36"/>
          <w:szCs w:val="36"/>
          <w:lang w:val="fr-CA"/>
        </w:rPr>
        <w:t>!</w:t>
      </w:r>
    </w:p>
    <w:sectPr w:rsidR="008B2020" w:rsidRPr="005340E1" w:rsidSect="005340E1">
      <w:footerReference w:type="default" r:id="rId10"/>
      <w:pgSz w:w="12240" w:h="15840" w:code="1"/>
      <w:pgMar w:top="993" w:right="1440" w:bottom="85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736C8B" w14:textId="77777777" w:rsidR="00705054" w:rsidRDefault="00705054" w:rsidP="006B7EC8">
      <w:r>
        <w:separator/>
      </w:r>
    </w:p>
  </w:endnote>
  <w:endnote w:type="continuationSeparator" w:id="0">
    <w:p w14:paraId="5D2EF843" w14:textId="77777777" w:rsidR="00705054" w:rsidRDefault="00705054" w:rsidP="006B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975"/>
      <w:docPartObj>
        <w:docPartGallery w:val="Page Numbers (Bottom of Page)"/>
        <w:docPartUnique/>
      </w:docPartObj>
    </w:sdtPr>
    <w:sdtEndPr/>
    <w:sdtContent>
      <w:p w14:paraId="3A403F56" w14:textId="77777777" w:rsidR="00705054" w:rsidRDefault="00705054">
        <w:pPr>
          <w:pStyle w:val="Footer"/>
          <w:jc w:val="right"/>
        </w:pPr>
        <w:r>
          <w:fldChar w:fldCharType="begin"/>
        </w:r>
        <w:r>
          <w:instrText xml:space="preserve"> PAGE   \* MERGEFORMAT </w:instrText>
        </w:r>
        <w:r>
          <w:fldChar w:fldCharType="separate"/>
        </w:r>
        <w:r w:rsidR="00C52B80">
          <w:rPr>
            <w:noProof/>
          </w:rPr>
          <w:t>2</w:t>
        </w:r>
        <w:r>
          <w:rPr>
            <w:noProof/>
          </w:rPr>
          <w:fldChar w:fldCharType="end"/>
        </w:r>
      </w:p>
    </w:sdtContent>
  </w:sdt>
  <w:p w14:paraId="4DCA9B6F" w14:textId="77777777" w:rsidR="00705054" w:rsidRDefault="007050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2C3CA43" w14:textId="77777777" w:rsidR="00705054" w:rsidRDefault="00705054" w:rsidP="006B7EC8">
      <w:r>
        <w:separator/>
      </w:r>
    </w:p>
  </w:footnote>
  <w:footnote w:type="continuationSeparator" w:id="0">
    <w:p w14:paraId="2717F8E0" w14:textId="77777777" w:rsidR="00705054" w:rsidRDefault="00705054" w:rsidP="006B7EC8">
      <w:r>
        <w:continuationSeparator/>
      </w:r>
    </w:p>
  </w:footnote>
  <w:footnote w:id="1">
    <w:p w14:paraId="49065783" w14:textId="29D6DECD" w:rsidR="00705054" w:rsidRPr="003A7D52" w:rsidRDefault="00705054" w:rsidP="00A10933">
      <w:pPr>
        <w:pStyle w:val="FootnoteText"/>
        <w:rPr>
          <w:rFonts w:ascii="Arial" w:hAnsi="Arial" w:cs="Arial"/>
          <w:noProof/>
          <w:lang w:val="fr-CA"/>
        </w:rPr>
      </w:pPr>
      <w:r w:rsidRPr="003A7D52">
        <w:rPr>
          <w:rStyle w:val="FootnoteReference"/>
          <w:rFonts w:ascii="Arial" w:hAnsi="Arial" w:cs="Arial"/>
          <w:noProof/>
          <w:lang w:val="fr-CA"/>
        </w:rPr>
        <w:footnoteRef/>
      </w:r>
      <w:r w:rsidRPr="003A7D52">
        <w:rPr>
          <w:rFonts w:ascii="Arial" w:hAnsi="Arial" w:cs="Arial"/>
          <w:noProof/>
          <w:lang w:val="fr-CA"/>
        </w:rPr>
        <w:t xml:space="preserve"> Ce projet a été </w:t>
      </w:r>
      <w:r w:rsidRPr="000109CE">
        <w:rPr>
          <w:rFonts w:ascii="Arial" w:hAnsi="Arial" w:cs="Arial"/>
          <w:noProof/>
          <w:lang w:val="fr-CA"/>
        </w:rPr>
        <w:t xml:space="preserve">subventionné par l’Ohio Department of Mental Health ainsi que la Health Foundation of Greater Cincinnati. Toute correspondance concernant ce manuel doit être adressée en anglais à Gary S. Cuddeback, Ph.D., University of North Carolina at Chapel Hill, 325 Pittsboro Street, CB #3550, Chapel Hill, NC 27599; 919-962-4363; </w:t>
      </w:r>
      <w:hyperlink r:id="rId1" w:history="1">
        <w:r w:rsidRPr="000109CE">
          <w:rPr>
            <w:rStyle w:val="Hyperlink"/>
            <w:rFonts w:ascii="Arial" w:hAnsi="Arial" w:cs="Arial"/>
            <w:noProof/>
            <w:lang w:val="fr-CA"/>
          </w:rPr>
          <w:t>cuddeback@mail.schsr.unc.edu</w:t>
        </w:r>
      </w:hyperlink>
      <w:r w:rsidRPr="000109CE">
        <w:rPr>
          <w:rFonts w:ascii="Arial" w:hAnsi="Arial" w:cs="Arial"/>
          <w:noProof/>
          <w:lang w:val="fr-CA"/>
        </w:rPr>
        <w:t>.</w:t>
      </w:r>
    </w:p>
  </w:footnote>
  <w:footnote w:id="2">
    <w:p w14:paraId="135829D7" w14:textId="04762C8C" w:rsidR="00705054" w:rsidRPr="000845E2" w:rsidRDefault="00705054" w:rsidP="00A10933">
      <w:pPr>
        <w:pStyle w:val="FootnoteText"/>
        <w:rPr>
          <w:rFonts w:ascii="Arial" w:hAnsi="Arial" w:cs="Arial"/>
          <w:noProof/>
          <w:lang w:val="fr-CA"/>
        </w:rPr>
      </w:pPr>
      <w:r w:rsidRPr="000845E2">
        <w:rPr>
          <w:rStyle w:val="FootnoteReference"/>
          <w:rFonts w:ascii="Arial" w:hAnsi="Arial" w:cs="Arial"/>
          <w:noProof/>
          <w:lang w:val="fr-CA"/>
        </w:rPr>
        <w:footnoteRef/>
      </w:r>
      <w:r w:rsidR="00A05DE5">
        <w:rPr>
          <w:rFonts w:ascii="Arial" w:hAnsi="Arial" w:cs="Arial"/>
          <w:noProof/>
          <w:lang w:val="fr-CA"/>
        </w:rPr>
        <w:t xml:space="preserve"> </w:t>
      </w:r>
      <w:r w:rsidRPr="000845E2">
        <w:rPr>
          <w:rFonts w:ascii="Arial" w:hAnsi="Arial" w:cs="Arial"/>
          <w:noProof/>
          <w:lang w:val="fr-CA"/>
        </w:rPr>
        <w:t xml:space="preserve">Bond, G. R.; Drake, R. E.; Mueser, K. T.; </w:t>
      </w:r>
      <w:r>
        <w:rPr>
          <w:rFonts w:ascii="Arial" w:hAnsi="Arial" w:cs="Arial"/>
          <w:noProof/>
          <w:lang w:val="fr-CA"/>
        </w:rPr>
        <w:t>Latimer, E.,</w:t>
      </w:r>
      <w:r w:rsidRPr="000845E2">
        <w:rPr>
          <w:rFonts w:ascii="Arial" w:hAnsi="Arial" w:cs="Arial"/>
          <w:noProof/>
          <w:lang w:val="fr-CA"/>
        </w:rPr>
        <w:t xml:space="preserve"> « Assertive community treatment for people with severe mental illness: Critical ingredients and impact on patients », </w:t>
      </w:r>
      <w:r w:rsidRPr="000845E2">
        <w:rPr>
          <w:rFonts w:ascii="Arial" w:hAnsi="Arial" w:cs="Arial"/>
          <w:i/>
          <w:noProof/>
          <w:lang w:val="fr-CA"/>
        </w:rPr>
        <w:t xml:space="preserve">Disease Management &amp; Health Outcomes, </w:t>
      </w:r>
      <w:r w:rsidRPr="000845E2">
        <w:rPr>
          <w:rFonts w:ascii="Arial" w:hAnsi="Arial" w:cs="Arial"/>
          <w:noProof/>
          <w:lang w:val="fr-CA"/>
        </w:rPr>
        <w:t>2001, 9 (3), pp. 141-159.</w:t>
      </w:r>
    </w:p>
  </w:footnote>
  <w:footnote w:id="3">
    <w:p w14:paraId="3849CA23" w14:textId="06B83292" w:rsidR="00705054" w:rsidRPr="00524CF6" w:rsidRDefault="00705054" w:rsidP="00A10933">
      <w:pPr>
        <w:pStyle w:val="FootnoteText"/>
        <w:rPr>
          <w:rFonts w:ascii="Arial" w:hAnsi="Arial" w:cs="Arial"/>
          <w:noProof/>
          <w:lang w:val="fr-CA"/>
        </w:rPr>
      </w:pPr>
      <w:r w:rsidRPr="00524CF6">
        <w:rPr>
          <w:rStyle w:val="FootnoteReference"/>
          <w:rFonts w:ascii="Arial" w:hAnsi="Arial" w:cs="Arial"/>
          <w:noProof/>
          <w:lang w:val="fr-CA"/>
        </w:rPr>
        <w:footnoteRef/>
      </w:r>
      <w:r w:rsidRPr="00524CF6">
        <w:rPr>
          <w:rFonts w:ascii="Arial" w:hAnsi="Arial" w:cs="Arial"/>
          <w:noProof/>
          <w:lang w:val="fr-CA"/>
        </w:rPr>
        <w:t xml:space="preserve"> Stein, L. I.; Test, M. A., « Alternative to mental hospital treatment », </w:t>
      </w:r>
      <w:r w:rsidRPr="00524CF6">
        <w:rPr>
          <w:rFonts w:ascii="Arial" w:hAnsi="Arial" w:cs="Arial"/>
          <w:i/>
          <w:noProof/>
          <w:lang w:val="fr-CA"/>
        </w:rPr>
        <w:t xml:space="preserve">Archives of General Psychiatry, </w:t>
      </w:r>
      <w:r w:rsidRPr="00524CF6">
        <w:rPr>
          <w:rFonts w:ascii="Arial" w:hAnsi="Arial" w:cs="Arial"/>
          <w:noProof/>
          <w:lang w:val="fr-CA"/>
        </w:rPr>
        <w:t>1980,</w:t>
      </w:r>
      <w:r w:rsidRPr="00524CF6">
        <w:rPr>
          <w:rFonts w:ascii="Arial" w:hAnsi="Arial" w:cs="Arial"/>
          <w:i/>
          <w:noProof/>
          <w:lang w:val="fr-CA"/>
        </w:rPr>
        <w:t xml:space="preserve"> </w:t>
      </w:r>
      <w:r w:rsidRPr="00524CF6">
        <w:rPr>
          <w:rFonts w:ascii="Arial" w:hAnsi="Arial" w:cs="Arial"/>
          <w:noProof/>
          <w:lang w:val="fr-CA"/>
        </w:rPr>
        <w:t>37, pp. 392-397.</w:t>
      </w:r>
    </w:p>
  </w:footnote>
  <w:footnote w:id="4">
    <w:p w14:paraId="01DC80ED" w14:textId="70F87729" w:rsidR="00705054" w:rsidRPr="00707368" w:rsidRDefault="00705054" w:rsidP="00A10933">
      <w:pPr>
        <w:pStyle w:val="FootnoteText"/>
        <w:rPr>
          <w:rFonts w:ascii="Arial" w:hAnsi="Arial" w:cs="Arial"/>
          <w:noProof/>
          <w:lang w:val="fr-CA"/>
        </w:rPr>
      </w:pPr>
      <w:r w:rsidRPr="00524CF6">
        <w:rPr>
          <w:rStyle w:val="FootnoteReference"/>
          <w:rFonts w:ascii="Arial" w:hAnsi="Arial" w:cs="Arial"/>
          <w:noProof/>
          <w:lang w:val="fr-CA"/>
        </w:rPr>
        <w:footnoteRef/>
      </w:r>
      <w:r w:rsidRPr="00524CF6">
        <w:rPr>
          <w:rFonts w:ascii="Arial" w:hAnsi="Arial" w:cs="Arial"/>
          <w:noProof/>
          <w:lang w:val="fr-CA"/>
        </w:rPr>
        <w:t xml:space="preserve"> Davidson, L., </w:t>
      </w:r>
      <w:r w:rsidRPr="00524CF6">
        <w:rPr>
          <w:rFonts w:ascii="Arial" w:hAnsi="Arial" w:cs="Arial"/>
          <w:i/>
          <w:noProof/>
          <w:lang w:val="fr-CA"/>
        </w:rPr>
        <w:t xml:space="preserve">Living outside mental </w:t>
      </w:r>
      <w:r w:rsidRPr="00707368">
        <w:rPr>
          <w:rFonts w:ascii="Arial" w:hAnsi="Arial" w:cs="Arial"/>
          <w:i/>
          <w:noProof/>
          <w:lang w:val="fr-CA"/>
        </w:rPr>
        <w:t>illness: qualitative studies of recovery in schizophrenia</w:t>
      </w:r>
      <w:r w:rsidRPr="00707368">
        <w:rPr>
          <w:rFonts w:ascii="Arial" w:hAnsi="Arial" w:cs="Arial"/>
          <w:noProof/>
          <w:lang w:val="fr-CA"/>
        </w:rPr>
        <w:t>, 2003, New York, New York University Press.</w:t>
      </w:r>
    </w:p>
  </w:footnote>
  <w:footnote w:id="5">
    <w:p w14:paraId="034AC045" w14:textId="206544C0" w:rsidR="00705054" w:rsidRPr="00707368" w:rsidRDefault="00705054" w:rsidP="00A10933">
      <w:pPr>
        <w:pStyle w:val="FootnoteText"/>
        <w:rPr>
          <w:noProof/>
          <w:lang w:val="fr-CA"/>
        </w:rPr>
      </w:pPr>
      <w:r w:rsidRPr="00707368">
        <w:rPr>
          <w:rStyle w:val="FootnoteReference"/>
          <w:noProof/>
          <w:lang w:val="fr-CA"/>
        </w:rPr>
        <w:footnoteRef/>
      </w:r>
      <w:r w:rsidRPr="00707368">
        <w:rPr>
          <w:noProof/>
          <w:lang w:val="fr-CA"/>
        </w:rPr>
        <w:t xml:space="preserve"> </w:t>
      </w:r>
      <w:r w:rsidRPr="00707368">
        <w:rPr>
          <w:rFonts w:ascii="Arial" w:hAnsi="Arial" w:cs="Arial"/>
          <w:noProof/>
          <w:lang w:val="fr-CA"/>
        </w:rPr>
        <w:t xml:space="preserve">Anthony, W., « Recovery from mental illness: The guiding vision of the mental health service system in the 1990s », </w:t>
      </w:r>
      <w:r w:rsidRPr="00707368">
        <w:rPr>
          <w:rFonts w:ascii="Arial" w:hAnsi="Arial" w:cs="Arial"/>
          <w:i/>
          <w:noProof/>
          <w:lang w:val="fr-CA"/>
        </w:rPr>
        <w:t>Psychosocial Rehabilitation Journal</w:t>
      </w:r>
      <w:r w:rsidRPr="00707368">
        <w:rPr>
          <w:rFonts w:ascii="Arial" w:hAnsi="Arial" w:cs="Arial"/>
          <w:noProof/>
          <w:lang w:val="fr-CA"/>
        </w:rPr>
        <w:t>, 1993,</w:t>
      </w:r>
      <w:r w:rsidRPr="00707368">
        <w:rPr>
          <w:rFonts w:ascii="Arial" w:hAnsi="Arial" w:cs="Arial"/>
          <w:i/>
          <w:noProof/>
          <w:lang w:val="fr-CA"/>
        </w:rPr>
        <w:t xml:space="preserve"> 16 </w:t>
      </w:r>
      <w:r w:rsidRPr="00707368">
        <w:rPr>
          <w:rFonts w:ascii="Arial" w:hAnsi="Arial" w:cs="Arial"/>
          <w:noProof/>
          <w:lang w:val="fr-CA"/>
        </w:rPr>
        <w:t>(4), pp. 11-23.</w:t>
      </w:r>
    </w:p>
  </w:footnote>
  <w:footnote w:id="6">
    <w:p w14:paraId="65BEC513" w14:textId="6AC0F6CD" w:rsidR="00705054" w:rsidRPr="00707368" w:rsidRDefault="00705054" w:rsidP="00A10933">
      <w:pPr>
        <w:pStyle w:val="FootnoteText"/>
        <w:rPr>
          <w:rFonts w:ascii="Arial" w:hAnsi="Arial" w:cs="Arial"/>
          <w:noProof/>
          <w:lang w:val="fr-CA"/>
        </w:rPr>
      </w:pPr>
      <w:r w:rsidRPr="00707368">
        <w:rPr>
          <w:rStyle w:val="FootnoteReference"/>
          <w:rFonts w:ascii="Arial" w:hAnsi="Arial" w:cs="Arial"/>
          <w:noProof/>
          <w:lang w:val="fr-CA"/>
        </w:rPr>
        <w:footnoteRef/>
      </w:r>
      <w:r w:rsidRPr="00707368">
        <w:rPr>
          <w:rFonts w:ascii="Arial" w:hAnsi="Arial" w:cs="Arial"/>
          <w:noProof/>
          <w:lang w:val="fr-CA"/>
        </w:rPr>
        <w:t xml:space="preserve"> Cuddeback, G. S.; Morrissey, J. P.; Meyer, P. S., « How many ACT teams do we need? Results from a large, urban community », </w:t>
      </w:r>
      <w:r w:rsidRPr="00707368">
        <w:rPr>
          <w:rFonts w:ascii="Arial" w:hAnsi="Arial" w:cs="Arial"/>
          <w:i/>
          <w:noProof/>
          <w:lang w:val="fr-CA"/>
        </w:rPr>
        <w:t>Psychiatric Services,</w:t>
      </w:r>
      <w:r w:rsidRPr="00707368">
        <w:rPr>
          <w:rFonts w:ascii="Arial" w:hAnsi="Arial" w:cs="Arial"/>
          <w:noProof/>
          <w:lang w:val="fr-CA"/>
        </w:rPr>
        <w:t xml:space="preserve"> 2006, </w:t>
      </w:r>
      <w:r w:rsidRPr="00707368">
        <w:rPr>
          <w:rFonts w:ascii="Arial" w:hAnsi="Arial" w:cs="Arial"/>
          <w:i/>
          <w:noProof/>
          <w:lang w:val="fr-CA"/>
        </w:rPr>
        <w:t>57 </w:t>
      </w:r>
      <w:r w:rsidRPr="00707368">
        <w:rPr>
          <w:rFonts w:ascii="Arial" w:hAnsi="Arial" w:cs="Arial"/>
          <w:noProof/>
          <w:lang w:val="fr-CA"/>
        </w:rPr>
        <w:t>(12), pp. 1803-1806.</w:t>
      </w:r>
    </w:p>
  </w:footnote>
  <w:footnote w:id="7">
    <w:p w14:paraId="629B489B" w14:textId="1792D654" w:rsidR="00705054" w:rsidRPr="00707368" w:rsidRDefault="00705054" w:rsidP="00A10933">
      <w:pPr>
        <w:pStyle w:val="FootnoteText"/>
        <w:rPr>
          <w:rFonts w:ascii="Arial" w:hAnsi="Arial" w:cs="Arial"/>
          <w:noProof/>
          <w:lang w:val="fr-CA"/>
        </w:rPr>
      </w:pPr>
      <w:r w:rsidRPr="00707368">
        <w:rPr>
          <w:rStyle w:val="FootnoteReference"/>
          <w:rFonts w:ascii="Arial" w:hAnsi="Arial" w:cs="Arial"/>
          <w:noProof/>
          <w:lang w:val="fr-CA"/>
        </w:rPr>
        <w:footnoteRef/>
      </w:r>
      <w:r w:rsidRPr="00707368">
        <w:rPr>
          <w:rFonts w:ascii="Arial" w:hAnsi="Arial" w:cs="Arial"/>
          <w:noProof/>
          <w:lang w:val="fr-CA"/>
        </w:rPr>
        <w:t xml:space="preserve"> Stein, L. I.; Test, M. A., « Alternative to mental hospital treatment », </w:t>
      </w:r>
      <w:r w:rsidRPr="00707368">
        <w:rPr>
          <w:rFonts w:ascii="Arial" w:hAnsi="Arial" w:cs="Arial"/>
          <w:i/>
          <w:noProof/>
          <w:lang w:val="fr-CA"/>
        </w:rPr>
        <w:t>Archives of General Psychiatry</w:t>
      </w:r>
      <w:r w:rsidRPr="00707368">
        <w:rPr>
          <w:rFonts w:ascii="Arial" w:hAnsi="Arial" w:cs="Arial"/>
          <w:noProof/>
          <w:lang w:val="fr-CA"/>
        </w:rPr>
        <w:t>, 1980, 37, pp. 392-397.</w:t>
      </w:r>
    </w:p>
  </w:footnote>
  <w:footnote w:id="8">
    <w:p w14:paraId="7A3D4B48" w14:textId="7CFB0CF0" w:rsidR="00705054" w:rsidRPr="00150968" w:rsidRDefault="00705054" w:rsidP="00A10933">
      <w:pPr>
        <w:pStyle w:val="FootnoteText"/>
        <w:rPr>
          <w:rFonts w:ascii="Arial" w:eastAsia="Times New Roman" w:hAnsi="Arial" w:cs="Arial"/>
          <w:noProof/>
          <w:lang w:val="fr-CA"/>
        </w:rPr>
      </w:pPr>
      <w:r w:rsidRPr="00707368">
        <w:rPr>
          <w:rStyle w:val="FootnoteReference"/>
          <w:rFonts w:ascii="Arial" w:hAnsi="Arial" w:cs="Arial"/>
          <w:noProof/>
          <w:lang w:val="fr-CA"/>
        </w:rPr>
        <w:footnoteRef/>
      </w:r>
      <w:r w:rsidRPr="00707368">
        <w:rPr>
          <w:rFonts w:ascii="Arial" w:hAnsi="Arial" w:cs="Arial"/>
          <w:noProof/>
          <w:lang w:val="fr-CA"/>
        </w:rPr>
        <w:t xml:space="preserve"> </w:t>
      </w:r>
      <w:r w:rsidRPr="00707368">
        <w:rPr>
          <w:rFonts w:ascii="Arial" w:eastAsia="Times New Roman" w:hAnsi="Arial" w:cs="Arial"/>
          <w:noProof/>
          <w:lang w:val="fr-CA"/>
        </w:rPr>
        <w:t xml:space="preserve">Audini, B.; Marks, M.; Lawrence, R.E.; Connolly, J.; Watts, V., « Home-based versus outpatient/in-patient </w:t>
      </w:r>
      <w:r w:rsidRPr="00150968">
        <w:rPr>
          <w:rFonts w:ascii="Arial" w:eastAsia="Times New Roman" w:hAnsi="Arial" w:cs="Arial"/>
          <w:noProof/>
          <w:lang w:val="fr-CA"/>
        </w:rPr>
        <w:t xml:space="preserve">care for people with serious mental illness: Phase II of a controlled study », </w:t>
      </w:r>
      <w:r w:rsidRPr="00150968">
        <w:rPr>
          <w:rFonts w:ascii="Arial" w:eastAsia="Times New Roman" w:hAnsi="Arial" w:cs="Arial"/>
          <w:i/>
          <w:iCs/>
          <w:noProof/>
          <w:lang w:val="fr-CA"/>
        </w:rPr>
        <w:t>British Journal of Psychiatry</w:t>
      </w:r>
      <w:r w:rsidRPr="00150968">
        <w:rPr>
          <w:rFonts w:ascii="Arial" w:eastAsia="Times New Roman" w:hAnsi="Arial" w:cs="Arial"/>
          <w:noProof/>
          <w:lang w:val="fr-CA"/>
        </w:rPr>
        <w:t xml:space="preserve">, 1994, </w:t>
      </w:r>
      <w:r w:rsidRPr="00150968">
        <w:rPr>
          <w:rFonts w:ascii="Arial" w:eastAsia="Times New Roman" w:hAnsi="Arial" w:cs="Arial"/>
          <w:iCs/>
          <w:noProof/>
          <w:lang w:val="fr-CA"/>
        </w:rPr>
        <w:t>165</w:t>
      </w:r>
      <w:r w:rsidRPr="00150968">
        <w:rPr>
          <w:rFonts w:ascii="Arial" w:eastAsia="Times New Roman" w:hAnsi="Arial" w:cs="Arial"/>
          <w:noProof/>
          <w:lang w:val="fr-CA"/>
        </w:rPr>
        <w:t>, pp. 204–210.</w:t>
      </w:r>
    </w:p>
  </w:footnote>
  <w:footnote w:id="9">
    <w:p w14:paraId="1C7DF55B" w14:textId="579BBC42" w:rsidR="00705054" w:rsidRPr="00150968" w:rsidRDefault="00705054" w:rsidP="00A10933">
      <w:pPr>
        <w:pStyle w:val="FootnoteText"/>
        <w:rPr>
          <w:rFonts w:ascii="Arial" w:hAnsi="Arial" w:cs="Arial"/>
          <w:noProof/>
          <w:lang w:val="fr-CA"/>
        </w:rPr>
      </w:pPr>
      <w:r w:rsidRPr="00150968">
        <w:rPr>
          <w:rStyle w:val="FootnoteReference"/>
          <w:rFonts w:ascii="Arial" w:hAnsi="Arial" w:cs="Arial"/>
          <w:noProof/>
          <w:lang w:val="fr-CA"/>
        </w:rPr>
        <w:footnoteRef/>
      </w:r>
      <w:r w:rsidRPr="00150968">
        <w:rPr>
          <w:rFonts w:ascii="Arial" w:hAnsi="Arial" w:cs="Arial"/>
          <w:noProof/>
          <w:lang w:val="fr-CA"/>
        </w:rPr>
        <w:t xml:space="preserve"> McRae, J.; Higgins, M.; Lycan, C.; Sherman, M. D., « What happens to patients after five years of intensive case management stops? », </w:t>
      </w:r>
      <w:r w:rsidRPr="00150968">
        <w:rPr>
          <w:rFonts w:ascii="Arial" w:hAnsi="Arial" w:cs="Arial"/>
          <w:i/>
          <w:noProof/>
          <w:lang w:val="fr-CA"/>
        </w:rPr>
        <w:t>Hospital and Community Psychiatry</w:t>
      </w:r>
      <w:r w:rsidRPr="00150968">
        <w:rPr>
          <w:rFonts w:ascii="Arial" w:hAnsi="Arial" w:cs="Arial"/>
          <w:noProof/>
          <w:lang w:val="fr-CA"/>
        </w:rPr>
        <w:t>, 1990, 41 (2), pp. 175-179.</w:t>
      </w:r>
    </w:p>
  </w:footnote>
  <w:footnote w:id="10">
    <w:p w14:paraId="273A62A0" w14:textId="77F2CBE8" w:rsidR="00705054" w:rsidRPr="00150968" w:rsidRDefault="00705054" w:rsidP="00A10933">
      <w:pPr>
        <w:pStyle w:val="FootnoteText"/>
        <w:rPr>
          <w:rFonts w:ascii="Arial" w:hAnsi="Arial" w:cs="Arial"/>
          <w:noProof/>
          <w:lang w:val="fr-CA"/>
        </w:rPr>
      </w:pPr>
      <w:r w:rsidRPr="00150968">
        <w:rPr>
          <w:rStyle w:val="FootnoteReference"/>
          <w:rFonts w:ascii="Arial" w:hAnsi="Arial" w:cs="Arial"/>
          <w:noProof/>
          <w:lang w:val="fr-CA"/>
        </w:rPr>
        <w:footnoteRef/>
      </w:r>
      <w:r w:rsidRPr="00150968">
        <w:rPr>
          <w:rFonts w:ascii="Arial" w:hAnsi="Arial" w:cs="Arial"/>
          <w:noProof/>
          <w:lang w:val="fr-CA"/>
        </w:rPr>
        <w:t xml:space="preserve"> Salyers, M. P.; Masterston, T. W.; Fekete, D. M.; Picone, J. J.; Bond, G. R.,</w:t>
      </w:r>
      <w:r w:rsidR="00150968" w:rsidRPr="00150968">
        <w:rPr>
          <w:rFonts w:ascii="Arial" w:hAnsi="Arial" w:cs="Arial"/>
          <w:noProof/>
          <w:lang w:val="fr-CA"/>
        </w:rPr>
        <w:t xml:space="preserve"> « </w:t>
      </w:r>
      <w:r w:rsidRPr="00150968">
        <w:rPr>
          <w:rFonts w:ascii="Arial" w:hAnsi="Arial" w:cs="Arial"/>
          <w:noProof/>
          <w:lang w:val="fr-CA"/>
        </w:rPr>
        <w:t>Transferring clients from intensive case management: Impact on client functioning</w:t>
      </w:r>
      <w:r w:rsidR="00150968" w:rsidRPr="00150968">
        <w:rPr>
          <w:rFonts w:ascii="Arial" w:hAnsi="Arial" w:cs="Arial"/>
          <w:noProof/>
          <w:lang w:val="fr-CA"/>
        </w:rPr>
        <w:t xml:space="preserve"> », </w:t>
      </w:r>
      <w:r w:rsidRPr="00150968">
        <w:rPr>
          <w:rFonts w:ascii="Arial" w:hAnsi="Arial" w:cs="Arial"/>
          <w:i/>
          <w:noProof/>
          <w:lang w:val="fr-CA"/>
        </w:rPr>
        <w:t xml:space="preserve">American Journal of Orthopsychiatry, </w:t>
      </w:r>
      <w:r w:rsidRPr="00150968">
        <w:rPr>
          <w:rFonts w:ascii="Arial" w:hAnsi="Arial" w:cs="Arial"/>
          <w:noProof/>
          <w:lang w:val="fr-CA"/>
        </w:rPr>
        <w:t>1998, 68 (2), pp. 233-245.</w:t>
      </w:r>
    </w:p>
  </w:footnote>
  <w:footnote w:id="11">
    <w:p w14:paraId="05E6614E" w14:textId="46127A25" w:rsidR="00705054" w:rsidRPr="003A7D52" w:rsidRDefault="00705054" w:rsidP="00A10933">
      <w:pPr>
        <w:pStyle w:val="FootnoteText"/>
        <w:rPr>
          <w:rFonts w:ascii="Arial" w:hAnsi="Arial" w:cs="Arial"/>
          <w:noProof/>
          <w:lang w:val="fr-CA"/>
        </w:rPr>
      </w:pPr>
      <w:r w:rsidRPr="00150968">
        <w:rPr>
          <w:rStyle w:val="FootnoteReference"/>
          <w:rFonts w:ascii="Arial" w:hAnsi="Arial" w:cs="Arial"/>
          <w:noProof/>
          <w:lang w:val="fr-CA"/>
        </w:rPr>
        <w:footnoteRef/>
      </w:r>
      <w:r w:rsidRPr="00150968">
        <w:rPr>
          <w:rFonts w:ascii="Arial" w:hAnsi="Arial" w:cs="Arial"/>
          <w:noProof/>
          <w:lang w:val="fr-CA"/>
        </w:rPr>
        <w:t xml:space="preserve"> </w:t>
      </w:r>
      <w:r w:rsidR="00150968" w:rsidRPr="00150968">
        <w:rPr>
          <w:rFonts w:ascii="Arial" w:eastAsia="Times New Roman" w:hAnsi="Arial" w:cs="Arial"/>
          <w:noProof/>
          <w:lang w:val="fr-CA"/>
        </w:rPr>
        <w:t xml:space="preserve">Jones, K.; Colson, P. W.; Holter, M. C.; Lin, S.; Valencia, E.; Susser, E.; </w:t>
      </w:r>
      <w:r w:rsidRPr="00150968">
        <w:rPr>
          <w:rFonts w:ascii="Arial" w:eastAsia="Times New Roman" w:hAnsi="Arial" w:cs="Arial"/>
          <w:noProof/>
          <w:lang w:val="fr-CA"/>
        </w:rPr>
        <w:t>Wyatt, R. J.</w:t>
      </w:r>
      <w:r w:rsidR="00150968" w:rsidRPr="00150968">
        <w:rPr>
          <w:rFonts w:ascii="Arial" w:eastAsia="Times New Roman" w:hAnsi="Arial" w:cs="Arial"/>
          <w:noProof/>
          <w:lang w:val="fr-CA"/>
        </w:rPr>
        <w:t>, « </w:t>
      </w:r>
      <w:r w:rsidRPr="00150968">
        <w:rPr>
          <w:rFonts w:ascii="Arial" w:eastAsia="Times New Roman" w:hAnsi="Arial" w:cs="Arial"/>
          <w:noProof/>
          <w:lang w:val="fr-CA"/>
        </w:rPr>
        <w:t>Cost-effectiveness of critical time intervention to reduce homelessness among persons with mental illness</w:t>
      </w:r>
      <w:r w:rsidR="00150968" w:rsidRPr="00150968">
        <w:rPr>
          <w:rFonts w:ascii="Arial" w:eastAsia="Times New Roman" w:hAnsi="Arial" w:cs="Arial"/>
          <w:noProof/>
          <w:lang w:val="fr-CA"/>
        </w:rPr>
        <w:t> »,</w:t>
      </w:r>
      <w:r w:rsidRPr="00150968">
        <w:rPr>
          <w:rFonts w:ascii="Arial" w:eastAsia="Times New Roman" w:hAnsi="Arial" w:cs="Arial"/>
          <w:noProof/>
          <w:lang w:val="fr-CA"/>
        </w:rPr>
        <w:t xml:space="preserve"> </w:t>
      </w:r>
      <w:r w:rsidRPr="00150968">
        <w:rPr>
          <w:rFonts w:ascii="Arial" w:eastAsia="Times New Roman" w:hAnsi="Arial" w:cs="Arial"/>
          <w:i/>
          <w:noProof/>
          <w:lang w:val="fr-CA"/>
        </w:rPr>
        <w:t>Psychiatric Services</w:t>
      </w:r>
      <w:r w:rsidRPr="00150968">
        <w:rPr>
          <w:rFonts w:ascii="Arial" w:eastAsia="Times New Roman" w:hAnsi="Arial" w:cs="Arial"/>
          <w:noProof/>
          <w:lang w:val="fr-CA"/>
        </w:rPr>
        <w:t xml:space="preserve">, </w:t>
      </w:r>
      <w:r w:rsidR="00150968" w:rsidRPr="00150968">
        <w:rPr>
          <w:rFonts w:ascii="Arial" w:eastAsia="Times New Roman" w:hAnsi="Arial" w:cs="Arial"/>
          <w:noProof/>
          <w:lang w:val="fr-CA"/>
        </w:rPr>
        <w:t xml:space="preserve">2003, </w:t>
      </w:r>
      <w:r w:rsidRPr="00150968">
        <w:rPr>
          <w:rFonts w:ascii="Arial" w:eastAsia="Times New Roman" w:hAnsi="Arial" w:cs="Arial"/>
          <w:noProof/>
          <w:lang w:val="fr-CA"/>
        </w:rPr>
        <w:t>54</w:t>
      </w:r>
      <w:r w:rsidR="00150968" w:rsidRPr="00150968">
        <w:rPr>
          <w:rFonts w:ascii="Arial" w:eastAsia="Times New Roman" w:hAnsi="Arial" w:cs="Arial"/>
          <w:noProof/>
          <w:lang w:val="fr-CA"/>
        </w:rPr>
        <w:t> </w:t>
      </w:r>
      <w:r w:rsidRPr="00150968">
        <w:rPr>
          <w:rFonts w:ascii="Arial" w:eastAsia="Times New Roman" w:hAnsi="Arial" w:cs="Arial"/>
          <w:noProof/>
          <w:lang w:val="fr-CA"/>
        </w:rPr>
        <w:t xml:space="preserve">(6), </w:t>
      </w:r>
      <w:r w:rsidR="00150968" w:rsidRPr="00150968">
        <w:rPr>
          <w:rFonts w:ascii="Arial" w:eastAsia="Times New Roman" w:hAnsi="Arial" w:cs="Arial"/>
          <w:noProof/>
          <w:lang w:val="fr-CA"/>
        </w:rPr>
        <w:t xml:space="preserve">pp. </w:t>
      </w:r>
      <w:r w:rsidRPr="00150968">
        <w:rPr>
          <w:rFonts w:ascii="Arial" w:eastAsia="Times New Roman" w:hAnsi="Arial" w:cs="Arial"/>
          <w:noProof/>
          <w:lang w:val="fr-CA"/>
        </w:rPr>
        <w:t>884-890.</w:t>
      </w:r>
    </w:p>
  </w:footnote>
  <w:footnote w:id="12">
    <w:p w14:paraId="722FA441" w14:textId="5CCD2731" w:rsidR="00705054" w:rsidRPr="004B390B" w:rsidRDefault="00705054" w:rsidP="00A10933">
      <w:pPr>
        <w:pStyle w:val="FootnoteText"/>
        <w:rPr>
          <w:rFonts w:ascii="Arial" w:hAnsi="Arial" w:cs="Arial"/>
          <w:noProof/>
          <w:lang w:val="fr-CA"/>
        </w:rPr>
      </w:pPr>
      <w:r w:rsidRPr="004B390B">
        <w:rPr>
          <w:rStyle w:val="FootnoteReference"/>
          <w:rFonts w:ascii="Arial" w:hAnsi="Arial" w:cs="Arial"/>
          <w:noProof/>
          <w:lang w:val="fr-CA"/>
        </w:rPr>
        <w:footnoteRef/>
      </w:r>
      <w:r w:rsidRPr="004B390B">
        <w:rPr>
          <w:rFonts w:ascii="Arial" w:hAnsi="Arial" w:cs="Arial"/>
          <w:noProof/>
          <w:lang w:val="fr-CA"/>
        </w:rPr>
        <w:t xml:space="preserve"> </w:t>
      </w:r>
      <w:r w:rsidR="004B390B" w:rsidRPr="004B390B">
        <w:rPr>
          <w:rFonts w:ascii="Arial" w:eastAsia="Times New Roman" w:hAnsi="Arial" w:cs="Arial"/>
          <w:noProof/>
          <w:lang w:val="fr-CA"/>
        </w:rPr>
        <w:t xml:space="preserve">Susser, E.; Valenica, E.; Conover, S.; Felix, A.; Wei-Yann, T.; </w:t>
      </w:r>
      <w:r w:rsidRPr="004B390B">
        <w:rPr>
          <w:rFonts w:ascii="Arial" w:eastAsia="Times New Roman" w:hAnsi="Arial" w:cs="Arial"/>
          <w:noProof/>
          <w:lang w:val="fr-CA"/>
        </w:rPr>
        <w:t>Wyatt, R. J.</w:t>
      </w:r>
      <w:r w:rsidR="004B390B" w:rsidRPr="004B390B">
        <w:rPr>
          <w:rFonts w:ascii="Arial" w:eastAsia="Times New Roman" w:hAnsi="Arial" w:cs="Arial"/>
          <w:noProof/>
          <w:lang w:val="fr-CA"/>
        </w:rPr>
        <w:t>, « </w:t>
      </w:r>
      <w:r w:rsidRPr="004B390B">
        <w:rPr>
          <w:rFonts w:ascii="Arial" w:eastAsia="Times New Roman" w:hAnsi="Arial" w:cs="Arial"/>
          <w:noProof/>
          <w:lang w:val="fr-CA"/>
        </w:rPr>
        <w:t>Preventing recurrent homelessness among mentally ill men: A “critical time” intervention after discharge from a shelter</w:t>
      </w:r>
      <w:r w:rsidR="004B390B" w:rsidRPr="004B390B">
        <w:rPr>
          <w:rFonts w:ascii="Arial" w:eastAsia="Times New Roman" w:hAnsi="Arial" w:cs="Arial"/>
          <w:noProof/>
          <w:lang w:val="fr-CA"/>
        </w:rPr>
        <w:t> »,</w:t>
      </w:r>
      <w:r w:rsidRPr="004B390B">
        <w:rPr>
          <w:rFonts w:ascii="Arial" w:eastAsia="Times New Roman" w:hAnsi="Arial" w:cs="Arial"/>
          <w:noProof/>
          <w:lang w:val="fr-CA"/>
        </w:rPr>
        <w:t xml:space="preserve"> </w:t>
      </w:r>
      <w:r w:rsidRPr="004B390B">
        <w:rPr>
          <w:rFonts w:ascii="Arial" w:eastAsia="Times New Roman" w:hAnsi="Arial" w:cs="Arial"/>
          <w:i/>
          <w:noProof/>
          <w:lang w:val="fr-CA"/>
        </w:rPr>
        <w:t>American Journal of Public Health</w:t>
      </w:r>
      <w:r w:rsidRPr="004B390B">
        <w:rPr>
          <w:rFonts w:ascii="Arial" w:eastAsia="Times New Roman" w:hAnsi="Arial" w:cs="Arial"/>
          <w:noProof/>
          <w:lang w:val="fr-CA"/>
        </w:rPr>
        <w:t xml:space="preserve">, </w:t>
      </w:r>
      <w:r w:rsidR="004B390B" w:rsidRPr="004B390B">
        <w:rPr>
          <w:rFonts w:ascii="Arial" w:eastAsia="Times New Roman" w:hAnsi="Arial" w:cs="Arial"/>
          <w:noProof/>
          <w:lang w:val="fr-CA"/>
        </w:rPr>
        <w:t xml:space="preserve">1997, </w:t>
      </w:r>
      <w:r w:rsidRPr="004B390B">
        <w:rPr>
          <w:rFonts w:ascii="Arial" w:eastAsia="Times New Roman" w:hAnsi="Arial" w:cs="Arial"/>
          <w:noProof/>
          <w:lang w:val="fr-CA"/>
        </w:rPr>
        <w:t>87</w:t>
      </w:r>
      <w:r w:rsidR="004B390B" w:rsidRPr="004B390B">
        <w:rPr>
          <w:rFonts w:ascii="Arial" w:eastAsia="Times New Roman" w:hAnsi="Arial" w:cs="Arial"/>
          <w:noProof/>
          <w:lang w:val="fr-CA"/>
        </w:rPr>
        <w:t> </w:t>
      </w:r>
      <w:r w:rsidRPr="004B390B">
        <w:rPr>
          <w:rFonts w:ascii="Arial" w:eastAsia="Times New Roman" w:hAnsi="Arial" w:cs="Arial"/>
          <w:noProof/>
          <w:lang w:val="fr-CA"/>
        </w:rPr>
        <w:t xml:space="preserve">(2), </w:t>
      </w:r>
      <w:r w:rsidR="004B390B" w:rsidRPr="004B390B">
        <w:rPr>
          <w:rFonts w:ascii="Arial" w:eastAsia="Times New Roman" w:hAnsi="Arial" w:cs="Arial"/>
          <w:noProof/>
          <w:lang w:val="fr-CA"/>
        </w:rPr>
        <w:t xml:space="preserve">pp. </w:t>
      </w:r>
      <w:r w:rsidRPr="004B390B">
        <w:rPr>
          <w:rFonts w:ascii="Arial" w:eastAsia="Times New Roman" w:hAnsi="Arial" w:cs="Arial"/>
          <w:noProof/>
          <w:lang w:val="fr-CA"/>
        </w:rPr>
        <w:t>356-262.</w:t>
      </w:r>
    </w:p>
  </w:footnote>
  <w:footnote w:id="13">
    <w:p w14:paraId="28BD5749" w14:textId="442FEAF7" w:rsidR="00705054" w:rsidRPr="004B390B" w:rsidRDefault="00705054" w:rsidP="000A1B41">
      <w:pPr>
        <w:pStyle w:val="FootnoteText"/>
        <w:rPr>
          <w:rFonts w:ascii="Arial" w:hAnsi="Arial" w:cs="Arial"/>
          <w:noProof/>
          <w:sz w:val="18"/>
          <w:szCs w:val="18"/>
          <w:lang w:val="fr-CA"/>
        </w:rPr>
      </w:pPr>
      <w:r w:rsidRPr="004B390B">
        <w:rPr>
          <w:rStyle w:val="FootnoteReference"/>
          <w:rFonts w:ascii="Arial" w:hAnsi="Arial" w:cs="Arial"/>
          <w:noProof/>
          <w:lang w:val="fr-CA"/>
        </w:rPr>
        <w:footnoteRef/>
      </w:r>
      <w:r w:rsidRPr="004B390B">
        <w:rPr>
          <w:rFonts w:ascii="Arial" w:hAnsi="Arial" w:cs="Arial"/>
          <w:noProof/>
          <w:lang w:val="fr-CA"/>
        </w:rPr>
        <w:t xml:space="preserve"> New Freedom Commission on Mental Health, </w:t>
      </w:r>
      <w:r w:rsidRPr="004B390B">
        <w:rPr>
          <w:rFonts w:ascii="Arial" w:hAnsi="Arial" w:cs="Arial"/>
          <w:i/>
          <w:noProof/>
          <w:lang w:val="fr-CA"/>
        </w:rPr>
        <w:t>Achieving the Promise: Transforming Mental Health Care in America. Final Report</w:t>
      </w:r>
      <w:r w:rsidR="004B390B" w:rsidRPr="004B390B">
        <w:rPr>
          <w:rFonts w:ascii="Arial" w:hAnsi="Arial" w:cs="Arial"/>
          <w:noProof/>
          <w:lang w:val="fr-CA"/>
        </w:rPr>
        <w:t xml:space="preserve">, </w:t>
      </w:r>
      <w:r w:rsidR="00A05DE5">
        <w:rPr>
          <w:rFonts w:ascii="Arial" w:hAnsi="Arial" w:cs="Arial"/>
          <w:noProof/>
          <w:lang w:val="fr-CA"/>
        </w:rPr>
        <w:t xml:space="preserve">2003, </w:t>
      </w:r>
      <w:r w:rsidR="004B390B" w:rsidRPr="004B390B">
        <w:rPr>
          <w:rFonts w:ascii="Arial" w:hAnsi="Arial" w:cs="Arial"/>
          <w:noProof/>
          <w:lang w:val="fr-CA"/>
        </w:rPr>
        <w:t>DHHS Pub. N</w:t>
      </w:r>
      <w:r w:rsidR="004B390B" w:rsidRPr="004B390B">
        <w:rPr>
          <w:rFonts w:ascii="Arial" w:hAnsi="Arial" w:cs="Arial"/>
          <w:noProof/>
          <w:vertAlign w:val="superscript"/>
          <w:lang w:val="fr-CA"/>
        </w:rPr>
        <w:t>o</w:t>
      </w:r>
      <w:r w:rsidR="00A05DE5">
        <w:rPr>
          <w:rFonts w:ascii="Arial" w:hAnsi="Arial" w:cs="Arial"/>
          <w:noProof/>
          <w:lang w:val="fr-CA"/>
        </w:rPr>
        <w:t xml:space="preserve"> SMA-03-3832, Rockville, MD</w:t>
      </w:r>
      <w:r w:rsidRPr="004B390B">
        <w:rPr>
          <w:rFonts w:ascii="Arial" w:hAnsi="Arial" w:cs="Arial"/>
          <w:noProof/>
          <w:lang w:val="fr-CA"/>
        </w:rPr>
        <w:t>.</w:t>
      </w:r>
    </w:p>
  </w:footnote>
  <w:footnote w:id="14">
    <w:p w14:paraId="02CA6729" w14:textId="5AC716CC" w:rsidR="00705054" w:rsidRPr="003D6C5A" w:rsidRDefault="00705054" w:rsidP="00A10933">
      <w:pPr>
        <w:pStyle w:val="FootnoteText"/>
        <w:rPr>
          <w:noProof/>
          <w:lang w:val="fr-CA"/>
        </w:rPr>
      </w:pPr>
      <w:r w:rsidRPr="003D6C5A">
        <w:rPr>
          <w:rStyle w:val="FootnoteReference"/>
          <w:noProof/>
          <w:lang w:val="fr-CA"/>
        </w:rPr>
        <w:footnoteRef/>
      </w:r>
      <w:r w:rsidRPr="003D6C5A">
        <w:rPr>
          <w:noProof/>
          <w:lang w:val="fr-CA"/>
        </w:rPr>
        <w:t xml:space="preserve"> </w:t>
      </w:r>
      <w:r w:rsidR="004B390B" w:rsidRPr="003D6C5A">
        <w:rPr>
          <w:rFonts w:ascii="Arial" w:eastAsia="Times New Roman" w:hAnsi="Arial" w:cs="Arial"/>
          <w:noProof/>
          <w:lang w:val="fr-CA"/>
        </w:rPr>
        <w:t>Sowers, W.; George, C.; Thompson, K., « </w:t>
      </w:r>
      <w:r w:rsidRPr="003D6C5A">
        <w:rPr>
          <w:rFonts w:ascii="Arial" w:eastAsia="Times New Roman" w:hAnsi="Arial" w:cs="Arial"/>
          <w:noProof/>
          <w:lang w:val="fr-CA"/>
        </w:rPr>
        <w:t>Level of Care Utilization System for Psychiatric and Addiction Services (LOCUS): A preliminary assessment of reliabi</w:t>
      </w:r>
      <w:r w:rsidR="004B390B" w:rsidRPr="003D6C5A">
        <w:rPr>
          <w:rFonts w:ascii="Arial" w:eastAsia="Times New Roman" w:hAnsi="Arial" w:cs="Arial"/>
          <w:noProof/>
          <w:lang w:val="fr-CA"/>
        </w:rPr>
        <w:t>lity and validity »,</w:t>
      </w:r>
      <w:r w:rsidRPr="003D6C5A">
        <w:rPr>
          <w:rFonts w:ascii="Arial" w:eastAsia="Times New Roman" w:hAnsi="Arial" w:cs="Arial"/>
          <w:noProof/>
          <w:lang w:val="fr-CA"/>
        </w:rPr>
        <w:t xml:space="preserve"> </w:t>
      </w:r>
      <w:r w:rsidRPr="003D6C5A">
        <w:rPr>
          <w:rFonts w:ascii="Arial" w:eastAsia="Times New Roman" w:hAnsi="Arial" w:cs="Arial"/>
          <w:i/>
          <w:noProof/>
          <w:lang w:val="fr-CA"/>
        </w:rPr>
        <w:t>Community Mental Health Journal</w:t>
      </w:r>
      <w:r w:rsidRPr="003D6C5A">
        <w:rPr>
          <w:rFonts w:ascii="Arial" w:eastAsia="Times New Roman" w:hAnsi="Arial" w:cs="Arial"/>
          <w:noProof/>
          <w:lang w:val="fr-CA"/>
        </w:rPr>
        <w:t xml:space="preserve">, </w:t>
      </w:r>
      <w:r w:rsidR="004B390B" w:rsidRPr="003D6C5A">
        <w:rPr>
          <w:rFonts w:ascii="Arial" w:eastAsia="Times New Roman" w:hAnsi="Arial" w:cs="Arial"/>
          <w:noProof/>
          <w:lang w:val="fr-CA"/>
        </w:rPr>
        <w:t xml:space="preserve">1999, </w:t>
      </w:r>
      <w:r w:rsidRPr="003D6C5A">
        <w:rPr>
          <w:rFonts w:ascii="Arial" w:eastAsia="Times New Roman" w:hAnsi="Arial" w:cs="Arial"/>
          <w:noProof/>
          <w:lang w:val="fr-CA"/>
        </w:rPr>
        <w:t>35</w:t>
      </w:r>
      <w:r w:rsidR="004B390B" w:rsidRPr="003D6C5A">
        <w:rPr>
          <w:rFonts w:ascii="Arial" w:eastAsia="Times New Roman" w:hAnsi="Arial" w:cs="Arial"/>
          <w:noProof/>
          <w:lang w:val="fr-CA"/>
        </w:rPr>
        <w:t> </w:t>
      </w:r>
      <w:r w:rsidRPr="003D6C5A">
        <w:rPr>
          <w:rFonts w:ascii="Arial" w:eastAsia="Times New Roman" w:hAnsi="Arial" w:cs="Arial"/>
          <w:noProof/>
          <w:lang w:val="fr-CA"/>
        </w:rPr>
        <w:t xml:space="preserve">(6), </w:t>
      </w:r>
      <w:r w:rsidR="004B390B" w:rsidRPr="003D6C5A">
        <w:rPr>
          <w:rFonts w:ascii="Arial" w:eastAsia="Times New Roman" w:hAnsi="Arial" w:cs="Arial"/>
          <w:noProof/>
          <w:lang w:val="fr-CA"/>
        </w:rPr>
        <w:t xml:space="preserve">pp. </w:t>
      </w:r>
      <w:r w:rsidRPr="003D6C5A">
        <w:rPr>
          <w:rFonts w:ascii="Arial" w:eastAsia="Times New Roman" w:hAnsi="Arial" w:cs="Arial"/>
          <w:noProof/>
          <w:lang w:val="fr-CA"/>
        </w:rPr>
        <w:t>545-563.</w:t>
      </w:r>
    </w:p>
  </w:footnote>
  <w:footnote w:id="15">
    <w:p w14:paraId="29E448FE" w14:textId="14CCE2CC" w:rsidR="00705054" w:rsidRPr="003A7D52" w:rsidRDefault="00705054" w:rsidP="0023654D">
      <w:pPr>
        <w:pStyle w:val="FootnoteText"/>
        <w:rPr>
          <w:noProof/>
          <w:lang w:val="fr-CA"/>
        </w:rPr>
      </w:pPr>
      <w:r w:rsidRPr="003D6C5A">
        <w:rPr>
          <w:rStyle w:val="FootnoteReference"/>
          <w:noProof/>
          <w:lang w:val="fr-CA"/>
        </w:rPr>
        <w:footnoteRef/>
      </w:r>
      <w:r w:rsidRPr="003D6C5A">
        <w:rPr>
          <w:noProof/>
          <w:lang w:val="fr-CA"/>
        </w:rPr>
        <w:t xml:space="preserve"> </w:t>
      </w:r>
      <w:r w:rsidR="003D6C5A" w:rsidRPr="003D6C5A">
        <w:rPr>
          <w:rFonts w:ascii="Arial" w:eastAsia="Times New Roman" w:hAnsi="Arial" w:cs="Arial"/>
          <w:noProof/>
          <w:lang w:val="fr-CA"/>
        </w:rPr>
        <w:t xml:space="preserve">Nunnally, J. C.; </w:t>
      </w:r>
      <w:r w:rsidRPr="003D6C5A">
        <w:rPr>
          <w:rFonts w:ascii="Arial" w:eastAsia="Times New Roman" w:hAnsi="Arial" w:cs="Arial"/>
          <w:noProof/>
          <w:lang w:val="fr-CA"/>
        </w:rPr>
        <w:t>Bernstein, I. H.</w:t>
      </w:r>
      <w:r w:rsidR="003D6C5A" w:rsidRPr="003D6C5A">
        <w:rPr>
          <w:rFonts w:ascii="Arial" w:eastAsia="Times New Roman" w:hAnsi="Arial" w:cs="Arial"/>
          <w:noProof/>
          <w:lang w:val="fr-CA"/>
        </w:rPr>
        <w:t xml:space="preserve">, </w:t>
      </w:r>
      <w:r w:rsidRPr="003D6C5A">
        <w:rPr>
          <w:rFonts w:ascii="Arial" w:eastAsia="Times New Roman" w:hAnsi="Arial" w:cs="Arial"/>
          <w:i/>
          <w:noProof/>
          <w:lang w:val="fr-CA"/>
        </w:rPr>
        <w:t>Psychometric theory</w:t>
      </w:r>
      <w:r w:rsidRPr="003D6C5A">
        <w:rPr>
          <w:rFonts w:ascii="Arial" w:eastAsia="Times New Roman" w:hAnsi="Arial" w:cs="Arial"/>
          <w:noProof/>
          <w:lang w:val="fr-CA"/>
        </w:rPr>
        <w:t xml:space="preserve"> (4th ed.)</w:t>
      </w:r>
      <w:r w:rsidR="003D6C5A">
        <w:rPr>
          <w:rFonts w:ascii="Arial" w:eastAsia="Times New Roman" w:hAnsi="Arial" w:cs="Arial"/>
          <w:noProof/>
          <w:lang w:val="fr-CA"/>
        </w:rPr>
        <w:t xml:space="preserve">, </w:t>
      </w:r>
      <w:r w:rsidR="00A05DE5">
        <w:rPr>
          <w:rFonts w:ascii="Arial" w:eastAsia="Times New Roman" w:hAnsi="Arial" w:cs="Arial"/>
          <w:noProof/>
          <w:lang w:val="fr-CA"/>
        </w:rPr>
        <w:t xml:space="preserve">2001, </w:t>
      </w:r>
      <w:r w:rsidR="003D6C5A" w:rsidRPr="003D6C5A">
        <w:rPr>
          <w:rFonts w:ascii="Arial" w:eastAsia="Times New Roman" w:hAnsi="Arial" w:cs="Arial"/>
          <w:noProof/>
          <w:lang w:val="fr-CA"/>
        </w:rPr>
        <w:t xml:space="preserve">New York, </w:t>
      </w:r>
      <w:r w:rsidRPr="003D6C5A">
        <w:rPr>
          <w:rFonts w:ascii="Arial" w:eastAsia="Times New Roman" w:hAnsi="Arial" w:cs="Arial"/>
          <w:noProof/>
          <w:lang w:val="fr-CA"/>
        </w:rPr>
        <w:t>McGraw-Hill.</w:t>
      </w:r>
    </w:p>
  </w:footnote>
  <w:footnote w:id="16">
    <w:p w14:paraId="35D0FB7D" w14:textId="083AFA7F" w:rsidR="00705054" w:rsidRPr="003A7D52" w:rsidRDefault="00705054" w:rsidP="00A10933">
      <w:pPr>
        <w:pStyle w:val="FootnoteText"/>
        <w:rPr>
          <w:noProof/>
          <w:lang w:val="fr-CA"/>
        </w:rPr>
      </w:pPr>
      <w:r w:rsidRPr="005B580E">
        <w:rPr>
          <w:rStyle w:val="FootnoteReference"/>
          <w:noProof/>
          <w:lang w:val="fr-CA"/>
        </w:rPr>
        <w:footnoteRef/>
      </w:r>
      <w:r w:rsidRPr="005B580E">
        <w:rPr>
          <w:noProof/>
          <w:lang w:val="fr-CA"/>
        </w:rPr>
        <w:t xml:space="preserve"> </w:t>
      </w:r>
      <w:r w:rsidR="005B580E" w:rsidRPr="005B580E">
        <w:rPr>
          <w:rFonts w:ascii="Arial" w:eastAsia="Times New Roman" w:hAnsi="Arial" w:cs="Arial"/>
          <w:noProof/>
          <w:lang w:val="fr-CA"/>
        </w:rPr>
        <w:t xml:space="preserve">Nunnally, J. C.; Bernstein, I. H., </w:t>
      </w:r>
      <w:r w:rsidR="005B580E" w:rsidRPr="005B580E">
        <w:rPr>
          <w:rFonts w:ascii="Arial" w:eastAsia="Times New Roman" w:hAnsi="Arial" w:cs="Arial"/>
          <w:i/>
          <w:noProof/>
          <w:lang w:val="fr-CA"/>
        </w:rPr>
        <w:t>Psychometric theory</w:t>
      </w:r>
      <w:r w:rsidR="005B580E" w:rsidRPr="005B580E">
        <w:rPr>
          <w:rFonts w:ascii="Arial" w:eastAsia="Times New Roman" w:hAnsi="Arial" w:cs="Arial"/>
          <w:noProof/>
          <w:lang w:val="fr-CA"/>
        </w:rPr>
        <w:t xml:space="preserve"> (4th ed.), </w:t>
      </w:r>
      <w:r w:rsidR="00A05DE5">
        <w:rPr>
          <w:rFonts w:ascii="Arial" w:eastAsia="Times New Roman" w:hAnsi="Arial" w:cs="Arial"/>
          <w:noProof/>
          <w:lang w:val="fr-CA"/>
        </w:rPr>
        <w:t>2001, New York, McGraw-Hill</w:t>
      </w:r>
      <w:r w:rsidRPr="005B580E">
        <w:rPr>
          <w:rFonts w:ascii="Arial" w:eastAsia="Times New Roman" w:hAnsi="Arial" w:cs="Arial"/>
          <w:noProof/>
          <w:lang w:val="fr-CA"/>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016D45"/>
    <w:multiLevelType w:val="hybridMultilevel"/>
    <w:tmpl w:val="0276CF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EE14616"/>
    <w:multiLevelType w:val="hybridMultilevel"/>
    <w:tmpl w:val="0F465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732328"/>
    <w:multiLevelType w:val="hybridMultilevel"/>
    <w:tmpl w:val="D95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2"/>
  </w:compat>
  <w:rsids>
    <w:rsidRoot w:val="00D603C8"/>
    <w:rsid w:val="00005EFF"/>
    <w:rsid w:val="00010583"/>
    <w:rsid w:val="000109CE"/>
    <w:rsid w:val="00014F83"/>
    <w:rsid w:val="000163D3"/>
    <w:rsid w:val="00023E4F"/>
    <w:rsid w:val="00025770"/>
    <w:rsid w:val="00026DF0"/>
    <w:rsid w:val="00033ECB"/>
    <w:rsid w:val="00041668"/>
    <w:rsid w:val="000430C3"/>
    <w:rsid w:val="00044818"/>
    <w:rsid w:val="00064FCD"/>
    <w:rsid w:val="00076142"/>
    <w:rsid w:val="000771F9"/>
    <w:rsid w:val="000845E2"/>
    <w:rsid w:val="00094222"/>
    <w:rsid w:val="000A1B41"/>
    <w:rsid w:val="000A22F4"/>
    <w:rsid w:val="000A6655"/>
    <w:rsid w:val="000C4E2F"/>
    <w:rsid w:val="000C4FE4"/>
    <w:rsid w:val="000C5084"/>
    <w:rsid w:val="000D6B1A"/>
    <w:rsid w:val="000D76D3"/>
    <w:rsid w:val="000E3F5E"/>
    <w:rsid w:val="000E5FD5"/>
    <w:rsid w:val="000F55E0"/>
    <w:rsid w:val="0010341D"/>
    <w:rsid w:val="00114648"/>
    <w:rsid w:val="00134BDA"/>
    <w:rsid w:val="001373F3"/>
    <w:rsid w:val="00150968"/>
    <w:rsid w:val="00173BF3"/>
    <w:rsid w:val="00175603"/>
    <w:rsid w:val="0018486B"/>
    <w:rsid w:val="001861E5"/>
    <w:rsid w:val="001861EE"/>
    <w:rsid w:val="00193966"/>
    <w:rsid w:val="00195CA5"/>
    <w:rsid w:val="001C407B"/>
    <w:rsid w:val="001D5443"/>
    <w:rsid w:val="001E4B1B"/>
    <w:rsid w:val="00202985"/>
    <w:rsid w:val="00206B97"/>
    <w:rsid w:val="0021074D"/>
    <w:rsid w:val="0021102F"/>
    <w:rsid w:val="00211198"/>
    <w:rsid w:val="0021706C"/>
    <w:rsid w:val="00221934"/>
    <w:rsid w:val="002264CD"/>
    <w:rsid w:val="0023654D"/>
    <w:rsid w:val="002452AE"/>
    <w:rsid w:val="00250E01"/>
    <w:rsid w:val="00256E28"/>
    <w:rsid w:val="002614D4"/>
    <w:rsid w:val="002838CD"/>
    <w:rsid w:val="0028735C"/>
    <w:rsid w:val="00291F74"/>
    <w:rsid w:val="002959ED"/>
    <w:rsid w:val="00295AF5"/>
    <w:rsid w:val="002E6F95"/>
    <w:rsid w:val="002E70B7"/>
    <w:rsid w:val="002F56F9"/>
    <w:rsid w:val="002F65A1"/>
    <w:rsid w:val="003053B6"/>
    <w:rsid w:val="00316994"/>
    <w:rsid w:val="00317136"/>
    <w:rsid w:val="00317171"/>
    <w:rsid w:val="00323010"/>
    <w:rsid w:val="00325310"/>
    <w:rsid w:val="003321BB"/>
    <w:rsid w:val="003354EB"/>
    <w:rsid w:val="00345D7F"/>
    <w:rsid w:val="003513D3"/>
    <w:rsid w:val="00373AAF"/>
    <w:rsid w:val="00381691"/>
    <w:rsid w:val="00393F37"/>
    <w:rsid w:val="003A1B91"/>
    <w:rsid w:val="003A2D0C"/>
    <w:rsid w:val="003A5E33"/>
    <w:rsid w:val="003A7D52"/>
    <w:rsid w:val="003B3C48"/>
    <w:rsid w:val="003C41E9"/>
    <w:rsid w:val="003C71D7"/>
    <w:rsid w:val="003D071C"/>
    <w:rsid w:val="003D6C5A"/>
    <w:rsid w:val="003E3B08"/>
    <w:rsid w:val="003F2299"/>
    <w:rsid w:val="00413A62"/>
    <w:rsid w:val="004179C7"/>
    <w:rsid w:val="0042132F"/>
    <w:rsid w:val="00426479"/>
    <w:rsid w:val="00430136"/>
    <w:rsid w:val="00432451"/>
    <w:rsid w:val="00454962"/>
    <w:rsid w:val="00467758"/>
    <w:rsid w:val="00475BFB"/>
    <w:rsid w:val="004805EA"/>
    <w:rsid w:val="004826F9"/>
    <w:rsid w:val="00482F6B"/>
    <w:rsid w:val="00492840"/>
    <w:rsid w:val="004A492E"/>
    <w:rsid w:val="004B390B"/>
    <w:rsid w:val="004C59B5"/>
    <w:rsid w:val="004D0DFF"/>
    <w:rsid w:val="004D52DA"/>
    <w:rsid w:val="004D59D9"/>
    <w:rsid w:val="004E051D"/>
    <w:rsid w:val="004E5244"/>
    <w:rsid w:val="00503F42"/>
    <w:rsid w:val="00520A12"/>
    <w:rsid w:val="00524CF6"/>
    <w:rsid w:val="005340E1"/>
    <w:rsid w:val="00541777"/>
    <w:rsid w:val="00547E8B"/>
    <w:rsid w:val="00555188"/>
    <w:rsid w:val="00557B69"/>
    <w:rsid w:val="0056031A"/>
    <w:rsid w:val="00560DB8"/>
    <w:rsid w:val="00562D50"/>
    <w:rsid w:val="00580F57"/>
    <w:rsid w:val="00581DED"/>
    <w:rsid w:val="005B580E"/>
    <w:rsid w:val="005C2FC5"/>
    <w:rsid w:val="005C31A8"/>
    <w:rsid w:val="005E429B"/>
    <w:rsid w:val="005F5F50"/>
    <w:rsid w:val="00600B7C"/>
    <w:rsid w:val="00604C7D"/>
    <w:rsid w:val="00607E90"/>
    <w:rsid w:val="00611F37"/>
    <w:rsid w:val="00612AE2"/>
    <w:rsid w:val="00630903"/>
    <w:rsid w:val="0063355B"/>
    <w:rsid w:val="00641633"/>
    <w:rsid w:val="006501CA"/>
    <w:rsid w:val="00654B2B"/>
    <w:rsid w:val="00662BDA"/>
    <w:rsid w:val="0066507E"/>
    <w:rsid w:val="00667A8E"/>
    <w:rsid w:val="00670A03"/>
    <w:rsid w:val="006801C0"/>
    <w:rsid w:val="00683DB1"/>
    <w:rsid w:val="00684F3A"/>
    <w:rsid w:val="00690409"/>
    <w:rsid w:val="006B2100"/>
    <w:rsid w:val="006B3394"/>
    <w:rsid w:val="006B7EC8"/>
    <w:rsid w:val="006C0253"/>
    <w:rsid w:val="006C31C4"/>
    <w:rsid w:val="006C5977"/>
    <w:rsid w:val="006C5E1F"/>
    <w:rsid w:val="006C6611"/>
    <w:rsid w:val="006E1F53"/>
    <w:rsid w:val="006E31C8"/>
    <w:rsid w:val="006E75A9"/>
    <w:rsid w:val="00705054"/>
    <w:rsid w:val="00707368"/>
    <w:rsid w:val="0071701C"/>
    <w:rsid w:val="00717ABB"/>
    <w:rsid w:val="00730A33"/>
    <w:rsid w:val="0073206F"/>
    <w:rsid w:val="007332AC"/>
    <w:rsid w:val="00740CE1"/>
    <w:rsid w:val="00752962"/>
    <w:rsid w:val="00755FA5"/>
    <w:rsid w:val="00763F35"/>
    <w:rsid w:val="00764607"/>
    <w:rsid w:val="00766F05"/>
    <w:rsid w:val="00770620"/>
    <w:rsid w:val="0077284C"/>
    <w:rsid w:val="007A0AC7"/>
    <w:rsid w:val="007A408F"/>
    <w:rsid w:val="007A7853"/>
    <w:rsid w:val="007B1C60"/>
    <w:rsid w:val="007B5C37"/>
    <w:rsid w:val="007B7E03"/>
    <w:rsid w:val="007C4B3E"/>
    <w:rsid w:val="007C538F"/>
    <w:rsid w:val="007C55B8"/>
    <w:rsid w:val="007C5CF3"/>
    <w:rsid w:val="007E2571"/>
    <w:rsid w:val="0080082C"/>
    <w:rsid w:val="00815770"/>
    <w:rsid w:val="008275BF"/>
    <w:rsid w:val="00833A81"/>
    <w:rsid w:val="00842EF2"/>
    <w:rsid w:val="0084472F"/>
    <w:rsid w:val="00846058"/>
    <w:rsid w:val="0085787F"/>
    <w:rsid w:val="00871F02"/>
    <w:rsid w:val="0088055C"/>
    <w:rsid w:val="008857B6"/>
    <w:rsid w:val="008A4033"/>
    <w:rsid w:val="008A530B"/>
    <w:rsid w:val="008B05F6"/>
    <w:rsid w:val="008B1669"/>
    <w:rsid w:val="008B2020"/>
    <w:rsid w:val="008C49DC"/>
    <w:rsid w:val="008C4C94"/>
    <w:rsid w:val="008D2F5F"/>
    <w:rsid w:val="008D6396"/>
    <w:rsid w:val="008E4E97"/>
    <w:rsid w:val="00901EB6"/>
    <w:rsid w:val="00915040"/>
    <w:rsid w:val="00927336"/>
    <w:rsid w:val="009421D6"/>
    <w:rsid w:val="00967B5C"/>
    <w:rsid w:val="00967C0F"/>
    <w:rsid w:val="00974091"/>
    <w:rsid w:val="00975A03"/>
    <w:rsid w:val="00984822"/>
    <w:rsid w:val="00990661"/>
    <w:rsid w:val="00995B87"/>
    <w:rsid w:val="009A0420"/>
    <w:rsid w:val="009A3208"/>
    <w:rsid w:val="009B1F3A"/>
    <w:rsid w:val="009B50C7"/>
    <w:rsid w:val="009C42DC"/>
    <w:rsid w:val="009D2170"/>
    <w:rsid w:val="009D7B77"/>
    <w:rsid w:val="00A000DD"/>
    <w:rsid w:val="00A0209D"/>
    <w:rsid w:val="00A04F91"/>
    <w:rsid w:val="00A05DE5"/>
    <w:rsid w:val="00A10933"/>
    <w:rsid w:val="00A4111F"/>
    <w:rsid w:val="00A45F05"/>
    <w:rsid w:val="00A50667"/>
    <w:rsid w:val="00A66BE6"/>
    <w:rsid w:val="00A7093D"/>
    <w:rsid w:val="00A77242"/>
    <w:rsid w:val="00A80A2B"/>
    <w:rsid w:val="00A81FB3"/>
    <w:rsid w:val="00A863F7"/>
    <w:rsid w:val="00A91C6F"/>
    <w:rsid w:val="00A97BBF"/>
    <w:rsid w:val="00AB70B1"/>
    <w:rsid w:val="00AB77A5"/>
    <w:rsid w:val="00AC46D3"/>
    <w:rsid w:val="00AE3E27"/>
    <w:rsid w:val="00AF7B3B"/>
    <w:rsid w:val="00B00F14"/>
    <w:rsid w:val="00B11A8A"/>
    <w:rsid w:val="00B33DF3"/>
    <w:rsid w:val="00B347CC"/>
    <w:rsid w:val="00B348F7"/>
    <w:rsid w:val="00B572B1"/>
    <w:rsid w:val="00B61733"/>
    <w:rsid w:val="00B67BD8"/>
    <w:rsid w:val="00B771BB"/>
    <w:rsid w:val="00BB7151"/>
    <w:rsid w:val="00BC046C"/>
    <w:rsid w:val="00BC7732"/>
    <w:rsid w:val="00BD0C40"/>
    <w:rsid w:val="00BE735E"/>
    <w:rsid w:val="00C139D9"/>
    <w:rsid w:val="00C1447D"/>
    <w:rsid w:val="00C24B40"/>
    <w:rsid w:val="00C42EC1"/>
    <w:rsid w:val="00C452B3"/>
    <w:rsid w:val="00C466DE"/>
    <w:rsid w:val="00C52B80"/>
    <w:rsid w:val="00C839E6"/>
    <w:rsid w:val="00C857E2"/>
    <w:rsid w:val="00CB3593"/>
    <w:rsid w:val="00CC3580"/>
    <w:rsid w:val="00CC4617"/>
    <w:rsid w:val="00CE2BC1"/>
    <w:rsid w:val="00CE35E1"/>
    <w:rsid w:val="00CE7C56"/>
    <w:rsid w:val="00CF3F29"/>
    <w:rsid w:val="00CF4507"/>
    <w:rsid w:val="00CF5F15"/>
    <w:rsid w:val="00D00234"/>
    <w:rsid w:val="00D007B2"/>
    <w:rsid w:val="00D05273"/>
    <w:rsid w:val="00D25BFA"/>
    <w:rsid w:val="00D26795"/>
    <w:rsid w:val="00D369CF"/>
    <w:rsid w:val="00D477D0"/>
    <w:rsid w:val="00D52FA0"/>
    <w:rsid w:val="00D531B7"/>
    <w:rsid w:val="00D53E54"/>
    <w:rsid w:val="00D601FE"/>
    <w:rsid w:val="00D603C8"/>
    <w:rsid w:val="00D663B8"/>
    <w:rsid w:val="00D727B0"/>
    <w:rsid w:val="00D72C43"/>
    <w:rsid w:val="00D807F2"/>
    <w:rsid w:val="00D84F16"/>
    <w:rsid w:val="00D91558"/>
    <w:rsid w:val="00DA6177"/>
    <w:rsid w:val="00DA6E07"/>
    <w:rsid w:val="00DB7356"/>
    <w:rsid w:val="00DC70B3"/>
    <w:rsid w:val="00DD490E"/>
    <w:rsid w:val="00DD67E8"/>
    <w:rsid w:val="00DE1536"/>
    <w:rsid w:val="00DF282B"/>
    <w:rsid w:val="00E14217"/>
    <w:rsid w:val="00E14FFA"/>
    <w:rsid w:val="00E161A4"/>
    <w:rsid w:val="00E315B1"/>
    <w:rsid w:val="00E47F4D"/>
    <w:rsid w:val="00E50E65"/>
    <w:rsid w:val="00E53D81"/>
    <w:rsid w:val="00E6669B"/>
    <w:rsid w:val="00E73870"/>
    <w:rsid w:val="00E80DED"/>
    <w:rsid w:val="00E83403"/>
    <w:rsid w:val="00E96671"/>
    <w:rsid w:val="00EA0269"/>
    <w:rsid w:val="00EB2B12"/>
    <w:rsid w:val="00EC2C77"/>
    <w:rsid w:val="00EC4BEB"/>
    <w:rsid w:val="00EC6AB3"/>
    <w:rsid w:val="00ED7B5C"/>
    <w:rsid w:val="00EE0A53"/>
    <w:rsid w:val="00EE3B34"/>
    <w:rsid w:val="00EF21C2"/>
    <w:rsid w:val="00EF540B"/>
    <w:rsid w:val="00F00FBA"/>
    <w:rsid w:val="00F04AB9"/>
    <w:rsid w:val="00F14A18"/>
    <w:rsid w:val="00F17592"/>
    <w:rsid w:val="00F255AE"/>
    <w:rsid w:val="00F33890"/>
    <w:rsid w:val="00F378D9"/>
    <w:rsid w:val="00F37E22"/>
    <w:rsid w:val="00F56908"/>
    <w:rsid w:val="00F573A3"/>
    <w:rsid w:val="00F60644"/>
    <w:rsid w:val="00F72387"/>
    <w:rsid w:val="00F81CF3"/>
    <w:rsid w:val="00F92CFF"/>
    <w:rsid w:val="00F97DC8"/>
    <w:rsid w:val="00FA1E80"/>
    <w:rsid w:val="00FB385F"/>
    <w:rsid w:val="00FD42D9"/>
    <w:rsid w:val="00FE1426"/>
    <w:rsid w:val="00FE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2"/>
      <o:rules v:ext="edit">
        <o:r id="V:Rule23" type="connector" idref="#_x0000_s2826"/>
        <o:r id="V:Rule24" type="connector" idref="#_x0000_s2837"/>
        <o:r id="V:Rule25" type="connector" idref="#_x0000_s2821"/>
        <o:r id="V:Rule26" type="connector" idref="#_x0000_s2827"/>
        <o:r id="V:Rule27" type="connector" idref="#_x0000_s2819"/>
        <o:r id="V:Rule28" type="connector" idref="#_x0000_s2825"/>
        <o:r id="V:Rule29" type="connector" idref="#_x0000_s2822"/>
        <o:r id="V:Rule30" type="connector" idref="#_x0000_s2817"/>
        <o:r id="V:Rule31" type="connector" idref="#_x0000_s2816"/>
        <o:r id="V:Rule32" type="connector" idref="#_x0000_s2815"/>
        <o:r id="V:Rule33" type="connector" idref="#_x0000_s2812"/>
        <o:r id="V:Rule34" type="connector" idref="#_x0000_s2810"/>
        <o:r id="V:Rule35" type="connector" idref="#_x0000_s2824"/>
        <o:r id="V:Rule36" type="connector" idref="#_x0000_s2814"/>
        <o:r id="V:Rule37" type="connector" idref="#_x0000_s2830"/>
        <o:r id="V:Rule38" type="connector" idref="#_x0000_s2811"/>
        <o:r id="V:Rule39" type="connector" idref="#_x0000_s2813"/>
        <o:r id="V:Rule40" type="connector" idref="#_x0000_s2823"/>
        <o:r id="V:Rule41" type="connector" idref="#_x0000_s2820"/>
        <o:r id="V:Rule42" type="connector" idref="#_x0000_s2829"/>
        <o:r id="V:Rule43" type="connector" idref="#_x0000_s2828"/>
        <o:r id="V:Rule44" type="connector" idref="#_x0000_s2838"/>
      </o:rules>
    </o:shapelayout>
  </w:shapeDefaults>
  <w:decimalSymbol w:val="."/>
  <w:listSeparator w:val=","/>
  <w14:docId w14:val="2031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3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B7EC8"/>
    <w:rPr>
      <w:rFonts w:ascii="Calibri" w:eastAsia="Calibri" w:hAnsi="Calibri"/>
      <w:sz w:val="20"/>
      <w:szCs w:val="20"/>
    </w:rPr>
  </w:style>
  <w:style w:type="character" w:customStyle="1" w:styleId="FootnoteTextChar">
    <w:name w:val="Footnote Text Char"/>
    <w:basedOn w:val="DefaultParagraphFont"/>
    <w:link w:val="FootnoteText"/>
    <w:uiPriority w:val="99"/>
    <w:rsid w:val="006B7EC8"/>
    <w:rPr>
      <w:rFonts w:ascii="Calibri" w:eastAsia="Calibri" w:hAnsi="Calibri" w:cs="Times New Roman"/>
    </w:rPr>
  </w:style>
  <w:style w:type="character" w:styleId="FootnoteReference">
    <w:name w:val="footnote reference"/>
    <w:basedOn w:val="DefaultParagraphFont"/>
    <w:uiPriority w:val="99"/>
    <w:unhideWhenUsed/>
    <w:rsid w:val="006B7EC8"/>
    <w:rPr>
      <w:vertAlign w:val="superscript"/>
    </w:rPr>
  </w:style>
  <w:style w:type="character" w:styleId="Hyperlink">
    <w:name w:val="Hyperlink"/>
    <w:basedOn w:val="DefaultParagraphFont"/>
    <w:uiPriority w:val="99"/>
    <w:unhideWhenUsed/>
    <w:rsid w:val="006B7EC8"/>
    <w:rPr>
      <w:color w:val="0000FF"/>
      <w:u w:val="single"/>
    </w:rPr>
  </w:style>
  <w:style w:type="paragraph" w:styleId="Header">
    <w:name w:val="header"/>
    <w:basedOn w:val="Normal"/>
    <w:link w:val="HeaderChar"/>
    <w:rsid w:val="004805EA"/>
    <w:pPr>
      <w:tabs>
        <w:tab w:val="center" w:pos="4680"/>
        <w:tab w:val="right" w:pos="9360"/>
      </w:tabs>
    </w:pPr>
  </w:style>
  <w:style w:type="character" w:customStyle="1" w:styleId="HeaderChar">
    <w:name w:val="Header Char"/>
    <w:basedOn w:val="DefaultParagraphFont"/>
    <w:link w:val="Header"/>
    <w:rsid w:val="004805EA"/>
    <w:rPr>
      <w:sz w:val="24"/>
      <w:szCs w:val="24"/>
    </w:rPr>
  </w:style>
  <w:style w:type="paragraph" w:styleId="Footer">
    <w:name w:val="footer"/>
    <w:basedOn w:val="Normal"/>
    <w:link w:val="FooterChar"/>
    <w:uiPriority w:val="99"/>
    <w:rsid w:val="004805EA"/>
    <w:pPr>
      <w:tabs>
        <w:tab w:val="center" w:pos="4680"/>
        <w:tab w:val="right" w:pos="9360"/>
      </w:tabs>
    </w:pPr>
  </w:style>
  <w:style w:type="character" w:customStyle="1" w:styleId="FooterChar">
    <w:name w:val="Footer Char"/>
    <w:basedOn w:val="DefaultParagraphFont"/>
    <w:link w:val="Footer"/>
    <w:uiPriority w:val="99"/>
    <w:rsid w:val="004805EA"/>
    <w:rPr>
      <w:sz w:val="24"/>
      <w:szCs w:val="24"/>
    </w:rPr>
  </w:style>
  <w:style w:type="paragraph" w:styleId="ListParagraph">
    <w:name w:val="List Paragraph"/>
    <w:basedOn w:val="Normal"/>
    <w:uiPriority w:val="34"/>
    <w:qFormat/>
    <w:rsid w:val="008B202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0E3F5E"/>
    <w:rPr>
      <w:rFonts w:ascii="Tahoma" w:hAnsi="Tahoma" w:cs="Tahoma"/>
      <w:sz w:val="16"/>
      <w:szCs w:val="16"/>
    </w:rPr>
  </w:style>
  <w:style w:type="character" w:customStyle="1" w:styleId="BalloonTextChar">
    <w:name w:val="Balloon Text Char"/>
    <w:basedOn w:val="DefaultParagraphFont"/>
    <w:link w:val="BalloonText"/>
    <w:rsid w:val="000E3F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uddeback@mail.schs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98BA-2648-B145-ABE7-83A7DAE2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10</Pages>
  <Words>3769</Words>
  <Characters>21487</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Strongly</vt:lpstr>
    </vt:vector>
  </TitlesOfParts>
  <Company>schsr</Company>
  <LinksUpToDate>false</LinksUpToDate>
  <CharactersWithSpaces>25206</CharactersWithSpaces>
  <SharedDoc>false</SharedDoc>
  <HLinks>
    <vt:vector size="12" baseType="variant">
      <vt:variant>
        <vt:i4>3801101</vt:i4>
      </vt:variant>
      <vt:variant>
        <vt:i4>0</vt:i4>
      </vt:variant>
      <vt:variant>
        <vt:i4>0</vt:i4>
      </vt:variant>
      <vt:variant>
        <vt:i4>5</vt:i4>
      </vt:variant>
      <vt:variant>
        <vt:lpwstr>mailto:cuddeback@mail.schsr.unc.edu</vt:lpwstr>
      </vt:variant>
      <vt:variant>
        <vt:lpwstr/>
      </vt:variant>
      <vt:variant>
        <vt:i4>3801101</vt:i4>
      </vt:variant>
      <vt:variant>
        <vt:i4>0</vt:i4>
      </vt:variant>
      <vt:variant>
        <vt:i4>0</vt:i4>
      </vt:variant>
      <vt:variant>
        <vt:i4>5</vt:i4>
      </vt:variant>
      <vt:variant>
        <vt:lpwstr>mailto:cuddeback@mail.schsr.unc.edu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Strongly</dc:title>
  <dc:creator>Gary Steven Cuddeback</dc:creator>
  <cp:lastModifiedBy>Véronique Bessens</cp:lastModifiedBy>
  <cp:revision>235</cp:revision>
  <cp:lastPrinted>2011-06-27T17:19:00Z</cp:lastPrinted>
  <dcterms:created xsi:type="dcterms:W3CDTF">2011-06-27T17:19:00Z</dcterms:created>
  <dcterms:modified xsi:type="dcterms:W3CDTF">2014-03-03T05:02:00Z</dcterms:modified>
</cp:coreProperties>
</file>